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ascii="Arial" w:hAnsi="Arial" w:cs="Arial"/>
          <w:b/>
          <w:bCs/>
          <w:sz w:val="22"/>
          <w:szCs w:val="22"/>
        </w:rPr>
      </w:pPr>
      <w:bookmarkStart w:id="34" w:name="_GoBack"/>
      <w:bookmarkEnd w:id="34"/>
      <w:r>
        <w:rPr>
          <w:rFonts w:ascii="Arial" w:hAnsi="Arial" w:cs="Arial"/>
          <w:b/>
          <w:bCs/>
          <w:sz w:val="22"/>
          <w:szCs w:val="22"/>
        </w:rPr>
        <w:t xml:space="preserve">3GPP TSG RAN WG1 </w:t>
      </w:r>
      <w:r>
        <w:rPr>
          <w:rFonts w:hint="eastAsia" w:ascii="Arial" w:hAnsi="Arial" w:cs="Arial"/>
          <w:b/>
          <w:bCs/>
          <w:sz w:val="22"/>
          <w:szCs w:val="22"/>
        </w:rPr>
        <w:t>#</w:t>
      </w:r>
      <w:r>
        <w:rPr>
          <w:rFonts w:ascii="Arial" w:hAnsi="Arial" w:cs="Arial"/>
          <w:b/>
          <w:bCs/>
          <w:sz w:val="22"/>
          <w:szCs w:val="22"/>
        </w:rPr>
        <w:t>104-e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w:t>
      </w:r>
      <w:r>
        <w:rPr>
          <w:rFonts w:hint="eastAsia" w:ascii="Arial" w:hAnsi="Arial" w:cs="Arial"/>
          <w:b/>
          <w:bCs/>
          <w:sz w:val="22"/>
          <w:szCs w:val="22"/>
        </w:rPr>
        <w:t>2</w:t>
      </w:r>
      <w:r>
        <w:rPr>
          <w:rFonts w:ascii="Arial" w:hAnsi="Arial" w:cs="Arial"/>
          <w:b/>
          <w:bCs/>
          <w:sz w:val="22"/>
          <w:szCs w:val="22"/>
        </w:rPr>
        <w:t>100958</w:t>
      </w:r>
    </w:p>
    <w:p>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 xml:space="preserve">e-Meeting, </w:t>
      </w:r>
      <w:r>
        <w:rPr>
          <w:rFonts w:ascii="Arial" w:hAnsi="Arial" w:cs="Arial"/>
          <w:b/>
          <w:bCs/>
          <w:sz w:val="22"/>
          <w:szCs w:val="22"/>
        </w:rPr>
        <w:t>J</w:t>
      </w:r>
      <w:r>
        <w:rPr>
          <w:rFonts w:ascii="Arial" w:hAnsi="Arial" w:eastAsia="MS Mincho" w:cs="Arial"/>
          <w:b/>
          <w:bCs/>
          <w:sz w:val="22"/>
          <w:szCs w:val="22"/>
          <w:lang w:eastAsia="ja-JP"/>
        </w:rPr>
        <w:t>anuary</w:t>
      </w:r>
      <w:r>
        <w:rPr>
          <w:rFonts w:ascii="Arial" w:hAnsi="Arial" w:cs="Arial"/>
          <w:b/>
          <w:bCs/>
          <w:sz w:val="22"/>
          <w:szCs w:val="22"/>
        </w:rPr>
        <w:t xml:space="preserve"> </w:t>
      </w:r>
      <w:r>
        <w:rPr>
          <w:rFonts w:hint="eastAsia" w:ascii="Arial" w:hAnsi="Arial" w:cs="Arial"/>
          <w:b/>
          <w:bCs/>
          <w:sz w:val="22"/>
          <w:szCs w:val="22"/>
        </w:rPr>
        <w:t>2</w:t>
      </w:r>
      <w:r>
        <w:rPr>
          <w:rFonts w:ascii="Arial" w:hAnsi="Arial" w:cs="Arial"/>
          <w:b/>
          <w:bCs/>
          <w:sz w:val="22"/>
          <w:szCs w:val="22"/>
        </w:rPr>
        <w:t>5</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eastAsia="MS Mincho" w:cs="Arial"/>
          <w:b/>
          <w:bCs/>
          <w:sz w:val="22"/>
          <w:szCs w:val="22"/>
          <w:lang w:eastAsia="ja-JP"/>
        </w:rPr>
        <w:t>February</w:t>
      </w:r>
      <w:r>
        <w:rPr>
          <w:rFonts w:ascii="Arial" w:hAnsi="Arial" w:cs="Arial"/>
          <w:b/>
          <w:bCs/>
          <w:sz w:val="22"/>
          <w:szCs w:val="22"/>
        </w:rPr>
        <w:t xml:space="preserve"> 5</w:t>
      </w:r>
      <w:r>
        <w:rPr>
          <w:rFonts w:ascii="Arial" w:hAnsi="Arial" w:cs="Arial"/>
          <w:b/>
          <w:bCs/>
          <w:sz w:val="22"/>
          <w:szCs w:val="22"/>
          <w:vertAlign w:val="superscript"/>
          <w:lang w:eastAsia="ja-JP"/>
        </w:rPr>
        <w:t>th</w:t>
      </w:r>
      <w:r>
        <w:rPr>
          <w:rFonts w:ascii="Arial" w:hAnsi="Arial" w:cs="Arial"/>
          <w:b/>
          <w:bCs/>
          <w:sz w:val="22"/>
          <w:szCs w:val="22"/>
          <w:lang w:eastAsia="ja-JP"/>
        </w:rPr>
        <w:t xml:space="preserve">, </w:t>
      </w:r>
      <w:r>
        <w:rPr>
          <w:rFonts w:hint="eastAsia" w:ascii="Arial" w:hAnsi="Arial" w:cs="Arial"/>
          <w:b/>
          <w:bCs/>
          <w:sz w:val="22"/>
          <w:szCs w:val="22"/>
        </w:rPr>
        <w:t>2021</w:t>
      </w:r>
    </w:p>
    <w:p>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b/>
          <w:sz w:val="22"/>
          <w:szCs w:val="22"/>
        </w:rPr>
        <w:t>Enhancements to the IAB resource multiplexing</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 Sanechips</w:t>
      </w:r>
    </w:p>
    <w:p>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b/>
          <w:sz w:val="22"/>
          <w:szCs w:val="22"/>
        </w:rPr>
        <w:t>8.10.1</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 w:val="20"/>
        </w:rPr>
      </w:pPr>
      <w:r>
        <w:rPr>
          <w:sz w:val="20"/>
        </w:rPr>
        <w:t>In order to support simultaneous operation by IAB</w:t>
      </w:r>
      <w:r>
        <w:rPr>
          <w:rFonts w:hint="eastAsia"/>
          <w:sz w:val="20"/>
        </w:rPr>
        <w:t xml:space="preserve"> </w:t>
      </w:r>
      <w:r>
        <w:rPr>
          <w:sz w:val="20"/>
        </w:rPr>
        <w:t>node’s child and parent links, some enhancements such as resource configuration in frequency domain, full-duplex cases, dual-connectivity had been discussed. In this contribution, we will continue to provide views on these aspects</w:t>
      </w:r>
      <w:r>
        <w:rPr>
          <w:rFonts w:hint="eastAsia"/>
          <w:sz w:val="20"/>
        </w:rPr>
        <w:t>.</w:t>
      </w:r>
    </w:p>
    <w:p>
      <w:pPr>
        <w:pStyle w:val="2"/>
        <w:spacing w:before="120" w:after="120"/>
        <w:ind w:left="0"/>
      </w:pPr>
      <w:r>
        <w:rPr>
          <w:rFonts w:hint="eastAsia"/>
        </w:rPr>
        <w:t>Discussion</w:t>
      </w:r>
      <w:r>
        <w:t>s</w:t>
      </w:r>
      <w:r>
        <w:rPr>
          <w:rFonts w:hint="eastAsia"/>
        </w:rPr>
        <w:t xml:space="preserve"> </w:t>
      </w:r>
    </w:p>
    <w:p>
      <w:pPr>
        <w:pStyle w:val="3"/>
        <w:spacing w:before="120" w:after="120"/>
        <w:ind w:left="991" w:right="210" w:hanging="991" w:hangingChars="354"/>
        <w:rPr>
          <w:szCs w:val="22"/>
        </w:rPr>
      </w:pPr>
      <w:r>
        <w:rPr>
          <w:rFonts w:cs="Arial"/>
        </w:rPr>
        <w:t>Semi-static resource configuration in frequency domain for DU</w:t>
      </w:r>
    </w:p>
    <w:p>
      <w:pPr>
        <w:spacing w:before="120" w:after="120"/>
        <w:rPr>
          <w:sz w:val="20"/>
        </w:rPr>
      </w:pPr>
      <w:r>
        <w:rPr>
          <w:sz w:val="20"/>
        </w:rPr>
        <w:t>The following agreements have been made in RAN1#103-e on semi-static resource configuration for DU[1]: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rFonts w:eastAsia="Calibri" w:cs="Times"/>
                <w:b/>
                <w:bCs/>
                <w:sz w:val="20"/>
                <w:highlight w:val="green"/>
              </w:rPr>
            </w:pPr>
            <w:r>
              <w:rPr>
                <w:rFonts w:eastAsia="Calibri" w:cs="Times"/>
                <w:b/>
                <w:bCs/>
                <w:sz w:val="20"/>
                <w:highlight w:val="green"/>
              </w:rPr>
              <w:t>Agreement</w:t>
            </w:r>
          </w:p>
          <w:p>
            <w:pPr>
              <w:widowControl w:val="0"/>
              <w:spacing w:before="120" w:after="120"/>
              <w:rPr>
                <w:rFonts w:eastAsia="Batang"/>
                <w:sz w:val="20"/>
              </w:rPr>
            </w:pPr>
            <w:r>
              <w:rPr>
                <w:sz w:val="20"/>
              </w:rPr>
              <w:t xml:space="preserve">The Rel-16 IAB-DU resource types (Soft/Hard/NA) are the starting point for supporting resource multiplexing for simultaneous operation cases in Rel-17. </w:t>
            </w:r>
          </w:p>
          <w:p>
            <w:pPr>
              <w:pStyle w:val="27"/>
              <w:widowControl w:val="0"/>
              <w:numPr>
                <w:ilvl w:val="0"/>
                <w:numId w:val="8"/>
              </w:numPr>
              <w:spacing w:after="120"/>
              <w:textAlignment w:val="baseline"/>
              <w:rPr>
                <w:rFonts w:eastAsia="Calibri" w:cs="Times"/>
                <w:color w:val="000000"/>
                <w:sz w:val="20"/>
                <w:szCs w:val="20"/>
              </w:rPr>
            </w:pPr>
            <w:r>
              <w:rPr>
                <w:rFonts w:eastAsia="Calibri" w:cs="Times"/>
                <w:color w:val="000000"/>
                <w:sz w:val="20"/>
                <w:szCs w:val="20"/>
              </w:rPr>
              <w:t xml:space="preserve">FFS: Whether resource type definitions need to be extended to frequency domain resources </w:t>
            </w:r>
          </w:p>
          <w:p>
            <w:pPr>
              <w:pStyle w:val="27"/>
              <w:widowControl w:val="0"/>
              <w:numPr>
                <w:ilvl w:val="0"/>
                <w:numId w:val="8"/>
              </w:numPr>
              <w:spacing w:after="120"/>
              <w:textAlignment w:val="baseline"/>
              <w:rPr>
                <w:rFonts w:eastAsia="Calibri" w:cs="Times"/>
                <w:color w:val="000000"/>
                <w:sz w:val="20"/>
                <w:szCs w:val="20"/>
              </w:rPr>
            </w:pPr>
            <w:r>
              <w:rPr>
                <w:rFonts w:eastAsia="Calibri" w:cs="Times"/>
                <w:color w:val="000000"/>
                <w:sz w:val="20"/>
                <w:szCs w:val="20"/>
              </w:rPr>
              <w:t>FFS: Coexistence of simultaneous operation resources and TDM resources</w:t>
            </w:r>
          </w:p>
          <w:p>
            <w:pPr>
              <w:pStyle w:val="27"/>
              <w:widowControl w:val="0"/>
              <w:numPr>
                <w:ilvl w:val="0"/>
                <w:numId w:val="8"/>
              </w:numPr>
              <w:spacing w:after="120"/>
              <w:textAlignment w:val="baseline"/>
              <w:rPr>
                <w:rFonts w:eastAsia="Calibri" w:cs="Times"/>
                <w:color w:val="000000"/>
                <w:sz w:val="20"/>
                <w:szCs w:val="20"/>
              </w:rPr>
            </w:pPr>
            <w:r>
              <w:rPr>
                <w:rFonts w:eastAsia="Calibri" w:cs="Times"/>
                <w:color w:val="000000"/>
                <w:sz w:val="20"/>
                <w:szCs w:val="20"/>
              </w:rPr>
              <w:t>FFS: Whether new rules governing cell-specific/semi-static signals and channels at the IAB-DU and/or IAB-MT in case of simultaneous operation are necessary</w:t>
            </w:r>
          </w:p>
          <w:p>
            <w:pPr>
              <w:widowControl w:val="0"/>
              <w:spacing w:before="120" w:after="120"/>
              <w:rPr>
                <w:sz w:val="20"/>
              </w:rPr>
            </w:pPr>
          </w:p>
        </w:tc>
      </w:tr>
    </w:tbl>
    <w:p>
      <w:pPr>
        <w:spacing w:beforeLines="0" w:afterLines="0" w:line="259" w:lineRule="auto"/>
        <w:rPr>
          <w:sz w:val="20"/>
        </w:rPr>
      </w:pPr>
      <w:r>
        <w:rPr>
          <w:sz w:val="20"/>
        </w:rPr>
        <w:t>In Rel-16, IAB specifications mainly focus on TDM between parent link and child link with consideration for forward compatibility for potential support of FDM/SDM. Due to the network-wide implications of half duplexing constraint, IAB-DU resource can be configured semi-statically as D/F/U and H/S/NA by CU in the time domain, availability of the soft resources configured by CU can be further indicated by the parent node through DCI format 2_5. Meanwhile, it is not considered in Rel-16 whether and how to divide frequency-domain resources between parent link and child link.</w:t>
      </w:r>
    </w:p>
    <w:p>
      <w:pPr>
        <w:spacing w:beforeLines="0" w:afterLines="0" w:line="259" w:lineRule="auto"/>
        <w:rPr>
          <w:sz w:val="20"/>
        </w:rPr>
      </w:pPr>
      <w:r>
        <w:rPr>
          <w:sz w:val="20"/>
        </w:rPr>
        <w:t>In Rel-17 IAB WID [2], one of new functionalities is the duplexing enhancements on simultaneous transmissions and/or reception on parent link and child link, i.e., parent link and child link are multiplexed in FDM/SDM manner. For an IAB node, it is necessary to ensure that the parent link resources scheduled by parent DU and child link resources scheduled by IAB-DU are (quasi-)orthogonal in frequency domain or spatial domain in order to avoid mutual interference.</w:t>
      </w:r>
    </w:p>
    <w:p>
      <w:pPr>
        <w:spacing w:beforeLines="0" w:afterLines="0" w:line="259" w:lineRule="auto"/>
        <w:rPr>
          <w:sz w:val="20"/>
        </w:rPr>
      </w:pPr>
      <w:r>
        <w:rPr>
          <w:sz w:val="20"/>
        </w:rPr>
        <w:t>The semi-static frequency resource partitioning can be implemented by a centralized approach similar as H/S/NA configuration by CU in the time domain.</w:t>
      </w:r>
    </w:p>
    <w:p>
      <w:pPr>
        <w:spacing w:beforeLines="0" w:afterLines="0" w:line="259" w:lineRule="auto"/>
        <w:rPr>
          <w:sz w:val="20"/>
        </w:rPr>
      </w:pPr>
      <w:r>
        <w:rPr>
          <w:sz w:val="20"/>
        </w:rPr>
        <w:t>For an IAB node, when parent link and child link are multiplexed in TDM manner, IAB-MT or IAB-DU can use the whole bandwidth of a cell. For simultaneous operations of an IAB node with sufficient isolation between MT and DU, overlapping frequency resources (i.e. SDM) can be used by IAB node MT and DU in order to increase spectrum efficiency. However, for an IAB node with insufficient isolation between MT and DU, to support simultaneous operation of IAB node’s parent link and child link, FDM can be performed. In this case, it is necessary to allocate orthogonal frequency resource for two links to avoid mutual interference.</w:t>
      </w:r>
    </w:p>
    <w:p>
      <w:pPr>
        <w:pStyle w:val="21"/>
        <w:spacing w:before="120" w:after="120"/>
        <w:rPr>
          <w:lang w:val="en-US" w:eastAsia="zh-CN"/>
        </w:rPr>
      </w:pPr>
      <w:bookmarkStart w:id="0" w:name="_Toc2238"/>
      <w:bookmarkStart w:id="1" w:name="_Toc384"/>
      <w:r>
        <w:t>At least to support FDM, the Rel-16 IAB DU resource type definitions needs to be extended to frequency domain resources</w:t>
      </w:r>
      <w:r>
        <w:rPr>
          <w:rFonts w:hint="eastAsia"/>
          <w:lang w:val="en-US" w:eastAsia="zh-CN"/>
        </w:rPr>
        <w:t>.</w:t>
      </w:r>
      <w:bookmarkEnd w:id="0"/>
      <w:bookmarkEnd w:id="1"/>
    </w:p>
    <w:p>
      <w:pPr>
        <w:spacing w:beforeLines="0" w:afterLines="0" w:line="259" w:lineRule="auto"/>
        <w:rPr>
          <w:sz w:val="20"/>
        </w:rPr>
      </w:pPr>
      <w:r>
        <w:rPr>
          <w:sz w:val="20"/>
        </w:rPr>
        <w:t xml:space="preserve">Similar to time domain resource configuration, one resource unit (e.g. RB) in frequency domain can be configured as Hard or NA. </w:t>
      </w:r>
      <w:r>
        <w:rPr>
          <w:rFonts w:hint="eastAsia"/>
          <w:sz w:val="20"/>
        </w:rPr>
        <w:t>Herei</w:t>
      </w:r>
      <w:r>
        <w:rPr>
          <w:rFonts w:hint="eastAsia"/>
          <w:sz w:val="20"/>
          <w:lang w:val="en-US" w:eastAsia="zh-CN"/>
        </w:rPr>
        <w:t>n</w:t>
      </w:r>
      <w:r>
        <w:rPr>
          <w:sz w:val="20"/>
        </w:rPr>
        <w:t xml:space="preserve"> Hard means that the corresponding frequency resource is available for the IAB-DU, and NA means opposite, i.e. the corresponding frequency resource is not available for the IAB-DU. In Rel-16, soft resources in time domain could be configured to realize the flexible resource sharing between parent link and child link, however, the benefit of supporting soft resource configuration in frequency domain has not been justified, and</w:t>
      </w:r>
      <w:r>
        <w:rPr>
          <w:rFonts w:hint="eastAsia"/>
          <w:sz w:val="20"/>
        </w:rPr>
        <w:t xml:space="preserve"> it's forseeable that</w:t>
      </w:r>
      <w:r>
        <w:rPr>
          <w:sz w:val="20"/>
        </w:rPr>
        <w:t xml:space="preserve"> support of indication of the dynamic availability of soft resources in frequency domain could </w:t>
      </w:r>
      <w:r>
        <w:rPr>
          <w:rFonts w:hint="eastAsia"/>
          <w:sz w:val="20"/>
        </w:rPr>
        <w:t>incur</w:t>
      </w:r>
      <w:r>
        <w:rPr>
          <w:sz w:val="20"/>
        </w:rPr>
        <w:t xml:space="preserve"> a lot of normative works. </w:t>
      </w:r>
      <w:r>
        <w:rPr>
          <w:rFonts w:hint="eastAsia"/>
          <w:sz w:val="20"/>
        </w:rPr>
        <w:t>W</w:t>
      </w:r>
      <w:r>
        <w:rPr>
          <w:sz w:val="20"/>
        </w:rPr>
        <w:t xml:space="preserve">hether soft resources in frequency domain could </w:t>
      </w:r>
      <w:r>
        <w:rPr>
          <w:rFonts w:hint="eastAsia"/>
          <w:sz w:val="20"/>
        </w:rPr>
        <w:t xml:space="preserve">thus </w:t>
      </w:r>
      <w:r>
        <w:rPr>
          <w:sz w:val="20"/>
        </w:rPr>
        <w:t>be configured should be FFS.</w:t>
      </w:r>
    </w:p>
    <w:p>
      <w:pPr>
        <w:pStyle w:val="21"/>
        <w:spacing w:before="120" w:after="120"/>
        <w:rPr>
          <w:lang w:val="en-US" w:eastAsia="zh-CN"/>
        </w:rPr>
      </w:pPr>
      <w:bookmarkStart w:id="2" w:name="_Toc10116"/>
      <w:bookmarkStart w:id="3" w:name="_Toc258"/>
      <w:r>
        <w:t>For resource configuration in frequency domain for DU, the following types of frequency resources could be configured for each IAB-DU cell</w:t>
      </w:r>
      <w:r>
        <w:rPr>
          <w:rFonts w:hint="eastAsia"/>
          <w:lang w:val="en-US" w:eastAsia="zh-CN"/>
        </w:rPr>
        <w:t>:</w:t>
      </w:r>
      <w:bookmarkEnd w:id="2"/>
      <w:bookmarkEnd w:id="3"/>
      <w:r>
        <w:rPr>
          <w:rFonts w:hint="eastAsia"/>
          <w:lang w:val="en-US" w:eastAsia="zh-CN"/>
        </w:rPr>
        <w:t xml:space="preserve"> </w:t>
      </w:r>
    </w:p>
    <w:p>
      <w:pPr>
        <w:pStyle w:val="22"/>
        <w:spacing w:before="120" w:after="120"/>
        <w:ind w:left="822" w:hanging="402"/>
        <w:rPr>
          <w:lang w:val="en-US" w:eastAsia="zh-CN"/>
        </w:rPr>
      </w:pPr>
      <w:bookmarkStart w:id="4" w:name="_Toc4810"/>
      <w:bookmarkStart w:id="5" w:name="_Toc12641"/>
      <w:r>
        <w:t>Hard: The corresponding frequency resource is available for the IAB-DU</w:t>
      </w:r>
      <w:bookmarkEnd w:id="4"/>
      <w:bookmarkEnd w:id="5"/>
    </w:p>
    <w:p>
      <w:pPr>
        <w:pStyle w:val="22"/>
        <w:spacing w:before="120" w:after="120"/>
        <w:ind w:left="822" w:hanging="402"/>
        <w:rPr>
          <w:lang w:val="en-US" w:eastAsia="zh-CN"/>
        </w:rPr>
      </w:pPr>
      <w:bookmarkStart w:id="6" w:name="_Toc5756"/>
      <w:bookmarkStart w:id="7" w:name="_Toc13798"/>
      <w:r>
        <w:t>NA: The corresponding frequency resource is not available for the IAB-DU</w:t>
      </w:r>
      <w:bookmarkEnd w:id="6"/>
      <w:bookmarkEnd w:id="7"/>
    </w:p>
    <w:p>
      <w:pPr>
        <w:pStyle w:val="22"/>
        <w:spacing w:before="120" w:after="120"/>
        <w:ind w:left="822" w:hanging="402"/>
        <w:rPr>
          <w:lang w:val="en-US" w:eastAsia="zh-CN"/>
        </w:rPr>
      </w:pPr>
      <w:bookmarkStart w:id="8" w:name="_Toc10922"/>
      <w:bookmarkStart w:id="9" w:name="_Toc15309"/>
      <w:r>
        <w:t>FFS: Whether Soft frequency resource should be configured</w:t>
      </w:r>
      <w:bookmarkEnd w:id="8"/>
      <w:bookmarkEnd w:id="9"/>
      <w:r>
        <w:rPr>
          <w:rFonts w:hint="eastAsia"/>
          <w:lang w:val="en-US" w:eastAsia="zh-CN"/>
        </w:rPr>
        <w:t xml:space="preserve">   </w:t>
      </w:r>
    </w:p>
    <w:p>
      <w:pPr>
        <w:spacing w:beforeLines="0" w:afterLines="0" w:line="259" w:lineRule="auto"/>
        <w:rPr>
          <w:rFonts w:cs="Times"/>
          <w:color w:val="000000"/>
          <w:sz w:val="20"/>
        </w:rPr>
      </w:pPr>
      <w:r>
        <w:rPr>
          <w:rFonts w:cs="Times"/>
          <w:sz w:val="20"/>
        </w:rPr>
        <w:t>Similar to</w:t>
      </w:r>
      <w:r>
        <w:rPr>
          <w:rFonts w:hint="eastAsia" w:cs="Times"/>
          <w:sz w:val="20"/>
          <w:lang w:val="en-US" w:eastAsia="zh-CN"/>
        </w:rPr>
        <w:t xml:space="preserve"> </w:t>
      </w:r>
      <w:r>
        <w:rPr>
          <w:rFonts w:cs="Times"/>
          <w:sz w:val="20"/>
        </w:rPr>
        <w:t>NA time resource that can be used by IAB-DU to transmit/receive c</w:t>
      </w:r>
      <w:r>
        <w:rPr>
          <w:rFonts w:eastAsia="Calibri" w:cs="Times"/>
          <w:sz w:val="20"/>
        </w:rPr>
        <w:t>ell-specific/semi-static signals and channels</w:t>
      </w:r>
      <w:r>
        <w:rPr>
          <w:rFonts w:cs="Times"/>
          <w:sz w:val="20"/>
        </w:rPr>
        <w:t xml:space="preserve"> (such as SSB transmission, periodic CSI-RS, PRACH, SR etc.), frequency resource partitioning should not limit transmission/reception of c</w:t>
      </w:r>
      <w:r>
        <w:rPr>
          <w:rFonts w:eastAsia="Calibri" w:cs="Times"/>
          <w:sz w:val="20"/>
        </w:rPr>
        <w:t>ell-specific/semi-static signals and channels</w:t>
      </w:r>
      <w:r>
        <w:rPr>
          <w:rFonts w:cs="Times"/>
          <w:sz w:val="20"/>
        </w:rPr>
        <w:t>.</w:t>
      </w:r>
    </w:p>
    <w:p>
      <w:pPr>
        <w:pStyle w:val="21"/>
        <w:spacing w:before="120" w:after="120"/>
        <w:rPr>
          <w:lang w:val="en-US" w:eastAsia="zh-CN"/>
        </w:rPr>
      </w:pPr>
      <w:bookmarkStart w:id="10" w:name="_Toc15304"/>
      <w:bookmarkStart w:id="11" w:name="_Toc30692"/>
      <w:r>
        <w:t>A frequency resource is equivalent to being configured as hard if it is used to transmit or receive cell-specific/semi-static signals and channels in the frequency resource by DU</w:t>
      </w:r>
      <w:r>
        <w:rPr>
          <w:rFonts w:hint="eastAsia"/>
          <w:lang w:val="en-US" w:eastAsia="zh-CN"/>
        </w:rPr>
        <w:t>.</w:t>
      </w:r>
      <w:bookmarkEnd w:id="10"/>
      <w:bookmarkEnd w:id="11"/>
    </w:p>
    <w:p>
      <w:pPr>
        <w:spacing w:before="120" w:after="120"/>
        <w:rPr>
          <w:rFonts w:ascii="Arial" w:hAnsi="Arial" w:cs="Arial"/>
        </w:rPr>
      </w:pPr>
    </w:p>
    <w:p>
      <w:pPr>
        <w:pStyle w:val="3"/>
        <w:spacing w:before="120" w:after="120"/>
        <w:ind w:left="991" w:right="210" w:hanging="991" w:hangingChars="354"/>
        <w:rPr>
          <w:szCs w:val="22"/>
        </w:rPr>
      </w:pPr>
      <w:r>
        <w:rPr>
          <w:rFonts w:cs="Arial"/>
        </w:rPr>
        <w:t>Dynamic availability indication in frequency domain for DU</w:t>
      </w:r>
    </w:p>
    <w:p>
      <w:pPr>
        <w:spacing w:before="120" w:after="120"/>
        <w:rPr>
          <w:sz w:val="20"/>
        </w:rPr>
      </w:pPr>
      <w:r>
        <w:rPr>
          <w:sz w:val="20"/>
        </w:rPr>
        <w:t>The following agreements have been made in RAN1#103e on dynamic availability indication for DU[1]: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rFonts w:eastAsia="Calibri" w:cs="Times"/>
                <w:b/>
                <w:bCs/>
                <w:sz w:val="20"/>
                <w:highlight w:val="green"/>
              </w:rPr>
            </w:pPr>
            <w:r>
              <w:rPr>
                <w:rFonts w:eastAsia="Calibri" w:cs="Times"/>
                <w:b/>
                <w:bCs/>
                <w:sz w:val="20"/>
                <w:highlight w:val="green"/>
              </w:rPr>
              <w:t>Agreement</w:t>
            </w:r>
          </w:p>
          <w:p>
            <w:pPr>
              <w:widowControl w:val="0"/>
              <w:spacing w:before="120" w:after="120"/>
              <w:rPr>
                <w:rFonts w:eastAsia="Batang"/>
                <w:sz w:val="20"/>
              </w:rPr>
            </w:pPr>
            <w:r>
              <w:rPr>
                <w:sz w:val="20"/>
              </w:rPr>
              <w:t xml:space="preserve">The Rel-16 explicit indication of soft resources by DCI Format 2_5 is supported for simultaneous operation cases in Rel-17. </w:t>
            </w:r>
          </w:p>
          <w:p>
            <w:pPr>
              <w:pStyle w:val="27"/>
              <w:widowControl w:val="0"/>
              <w:numPr>
                <w:ilvl w:val="0"/>
                <w:numId w:val="8"/>
              </w:numPr>
              <w:spacing w:after="120"/>
              <w:textAlignment w:val="baseline"/>
              <w:rPr>
                <w:rFonts w:eastAsia="Calibri" w:cs="Times"/>
                <w:color w:val="000000"/>
                <w:sz w:val="20"/>
                <w:szCs w:val="20"/>
              </w:rPr>
            </w:pPr>
            <w:r>
              <w:rPr>
                <w:rFonts w:eastAsia="Calibri" w:cs="Times"/>
                <w:color w:val="000000"/>
                <w:sz w:val="20"/>
                <w:szCs w:val="20"/>
              </w:rPr>
              <w:t>FFS: Whether/how to extend DCI Format 2_5 to frequency domain resources and/or paired spectrum</w:t>
            </w:r>
          </w:p>
          <w:p>
            <w:pPr>
              <w:pStyle w:val="27"/>
              <w:widowControl w:val="0"/>
              <w:numPr>
                <w:ilvl w:val="0"/>
                <w:numId w:val="8"/>
              </w:numPr>
              <w:spacing w:after="120"/>
              <w:textAlignment w:val="baseline"/>
              <w:rPr>
                <w:rFonts w:eastAsia="Calibri" w:cs="Times"/>
                <w:color w:val="000000"/>
                <w:sz w:val="20"/>
                <w:szCs w:val="20"/>
              </w:rPr>
            </w:pPr>
            <w:r>
              <w:rPr>
                <w:rFonts w:eastAsia="Calibri" w:cs="Times"/>
                <w:color w:val="000000"/>
                <w:sz w:val="20"/>
                <w:szCs w:val="20"/>
              </w:rPr>
              <w:t>FFS: Coexistence of simultaneous operation resources and TDM resources</w:t>
            </w:r>
          </w:p>
          <w:p>
            <w:pPr>
              <w:widowControl w:val="0"/>
              <w:spacing w:before="120" w:after="120"/>
              <w:rPr>
                <w:sz w:val="20"/>
              </w:rPr>
            </w:pPr>
          </w:p>
        </w:tc>
      </w:tr>
    </w:tbl>
    <w:p>
      <w:pPr>
        <w:spacing w:beforeLines="0" w:afterLines="0" w:line="259" w:lineRule="auto"/>
        <w:rPr>
          <w:sz w:val="20"/>
        </w:rPr>
      </w:pPr>
      <w:r>
        <w:rPr>
          <w:rFonts w:hint="eastAsia"/>
          <w:sz w:val="20"/>
        </w:rPr>
        <w:t xml:space="preserve"> </w:t>
      </w:r>
    </w:p>
    <w:p>
      <w:pPr>
        <w:spacing w:beforeLines="0" w:afterLines="0" w:line="259" w:lineRule="auto"/>
        <w:rPr>
          <w:sz w:val="20"/>
        </w:rPr>
      </w:pPr>
      <w:r>
        <w:rPr>
          <w:sz w:val="20"/>
        </w:rPr>
        <w:t>The main purpose of introducing H/S/NA resources configuration to DU in time domain is to provide higher flexibility in resource utilization between IAB node MT and DU. Soft resources in time domain could be configured to realize the flexible resource sharing between parent link and child link. However, whether to support</w:t>
      </w:r>
      <w:r>
        <w:rPr>
          <w:rFonts w:hint="eastAsia"/>
          <w:sz w:val="20"/>
        </w:rPr>
        <w:t xml:space="preserve"> </w:t>
      </w:r>
      <w:r>
        <w:rPr>
          <w:sz w:val="20"/>
        </w:rPr>
        <w:t>soft resource configuration in frequency domain has not been decided, and the benefit of supporting the dynamic availability</w:t>
      </w:r>
      <w:r>
        <w:rPr>
          <w:rFonts w:hint="eastAsia"/>
          <w:sz w:val="20"/>
        </w:rPr>
        <w:t xml:space="preserve"> </w:t>
      </w:r>
      <w:r>
        <w:rPr>
          <w:sz w:val="20"/>
        </w:rPr>
        <w:t xml:space="preserve">indication of soft resources in frequency domain had not been justified but </w:t>
      </w:r>
      <w:r>
        <w:rPr>
          <w:rFonts w:hint="eastAsia"/>
          <w:sz w:val="20"/>
        </w:rPr>
        <w:t>its support is forseeable to incur</w:t>
      </w:r>
      <w:r>
        <w:rPr>
          <w:sz w:val="20"/>
        </w:rPr>
        <w:t xml:space="preserve"> a lot of normative work. For instance, if only Hard and NA resources configuration is introduced, availability of resources in frequency domain is clear, i.e., hard</w:t>
      </w:r>
      <w:r>
        <w:rPr>
          <w:rFonts w:hint="eastAsia"/>
          <w:sz w:val="20"/>
        </w:rPr>
        <w:t xml:space="preserve"> resources are available and</w:t>
      </w:r>
      <w:r>
        <w:rPr>
          <w:sz w:val="20"/>
        </w:rPr>
        <w:t xml:space="preserve"> NA</w:t>
      </w:r>
      <w:r>
        <w:rPr>
          <w:rFonts w:hint="eastAsia"/>
          <w:sz w:val="20"/>
        </w:rPr>
        <w:t xml:space="preserve"> resources are not available</w:t>
      </w:r>
      <w:r>
        <w:rPr>
          <w:sz w:val="20"/>
        </w:rPr>
        <w:t>.</w:t>
      </w:r>
      <w:r>
        <w:rPr>
          <w:rFonts w:hint="eastAsia"/>
          <w:sz w:val="20"/>
          <w:lang w:val="en-US" w:eastAsia="zh-CN"/>
        </w:rPr>
        <w:t xml:space="preserve"> </w:t>
      </w:r>
      <w:r>
        <w:rPr>
          <w:sz w:val="20"/>
        </w:rPr>
        <w:t xml:space="preserve">In a word, support of introducing soft resources in frequency domain will bring a lot of normative work, </w:t>
      </w:r>
      <w:r>
        <w:rPr>
          <w:rFonts w:hint="eastAsia"/>
          <w:sz w:val="20"/>
        </w:rPr>
        <w:t>while</w:t>
      </w:r>
      <w:r>
        <w:rPr>
          <w:sz w:val="20"/>
        </w:rPr>
        <w:t xml:space="preserve"> the benefit is not clear.</w:t>
      </w:r>
    </w:p>
    <w:p>
      <w:pPr>
        <w:pStyle w:val="20"/>
        <w:spacing w:before="120" w:after="120"/>
        <w:rPr>
          <w:lang w:val="en-US" w:eastAsia="zh-CN"/>
        </w:rPr>
      </w:pPr>
      <w:r>
        <w:t xml:space="preserve"> </w:t>
      </w:r>
      <w:bookmarkStart w:id="12" w:name="_Toc17296"/>
      <w:bookmarkStart w:id="13" w:name="_Toc22133"/>
      <w:r>
        <w:rPr>
          <w:rFonts w:hint="eastAsia"/>
          <w:lang w:eastAsia="zh-CN"/>
        </w:rPr>
        <w:t xml:space="preserve">It's forseeable that </w:t>
      </w:r>
      <w:r>
        <w:t xml:space="preserve">A lot of normative works could </w:t>
      </w:r>
      <w:r>
        <w:rPr>
          <w:rFonts w:hint="eastAsia"/>
          <w:lang w:eastAsia="zh-CN"/>
        </w:rPr>
        <w:t>be incurred</w:t>
      </w:r>
      <w:r>
        <w:t xml:space="preserve"> if the indication of the dynamic availability of soft resources in frequency domain </w:t>
      </w:r>
      <w:r>
        <w:rPr>
          <w:rFonts w:hint="eastAsia"/>
          <w:lang w:eastAsia="zh-CN"/>
        </w:rPr>
        <w:t>were</w:t>
      </w:r>
      <w:r>
        <w:t xml:space="preserve"> supported </w:t>
      </w:r>
      <w:r>
        <w:rPr>
          <w:rFonts w:hint="eastAsia"/>
          <w:lang w:eastAsia="zh-CN"/>
        </w:rPr>
        <w:t>yet</w:t>
      </w:r>
      <w:r>
        <w:t xml:space="preserve"> the benefit is not clear</w:t>
      </w:r>
      <w:r>
        <w:rPr>
          <w:rFonts w:hint="eastAsia"/>
          <w:lang w:val="en-US" w:eastAsia="zh-CN"/>
        </w:rPr>
        <w:t>.</w:t>
      </w:r>
      <w:bookmarkEnd w:id="12"/>
      <w:bookmarkEnd w:id="13"/>
      <w:r>
        <w:rPr>
          <w:rFonts w:hint="eastAsia"/>
          <w:lang w:val="en-US" w:eastAsia="zh-CN"/>
        </w:rPr>
        <w:t xml:space="preserve">  </w:t>
      </w:r>
    </w:p>
    <w:p>
      <w:pPr>
        <w:pStyle w:val="21"/>
        <w:spacing w:before="120" w:after="120"/>
        <w:rPr>
          <w:lang w:val="en-US" w:eastAsia="zh-CN"/>
        </w:rPr>
      </w:pPr>
      <w:r>
        <w:t xml:space="preserve"> </w:t>
      </w:r>
      <w:bookmarkStart w:id="14" w:name="_Toc429"/>
      <w:bookmarkStart w:id="15" w:name="_Toc23834"/>
      <w:r>
        <w:t>Whether to extend DCI Format 2_5 to frequency domain resources can be considered after determining whether to introduce soft resources in frequency domain</w:t>
      </w:r>
      <w:r>
        <w:rPr>
          <w:rFonts w:hint="eastAsia"/>
          <w:lang w:val="en-US" w:eastAsia="zh-CN"/>
        </w:rPr>
        <w:t>.</w:t>
      </w:r>
      <w:bookmarkEnd w:id="14"/>
      <w:bookmarkEnd w:id="15"/>
    </w:p>
    <w:p>
      <w:pPr>
        <w:pStyle w:val="3"/>
        <w:spacing w:before="120" w:after="120"/>
        <w:ind w:left="991" w:right="210" w:hanging="991" w:hangingChars="354"/>
        <w:rPr>
          <w:szCs w:val="22"/>
        </w:rPr>
      </w:pPr>
      <w:r>
        <w:t>Full-duplex case</w:t>
      </w:r>
      <w:r>
        <w:rPr>
          <w:rFonts w:hint="eastAsia" w:eastAsia="宋体"/>
        </w:rPr>
        <w:t>s</w:t>
      </w:r>
    </w:p>
    <w:p>
      <w:pPr>
        <w:spacing w:before="120" w:after="120"/>
        <w:rPr>
          <w:sz w:val="20"/>
        </w:rPr>
      </w:pPr>
      <w:r>
        <w:rPr>
          <w:sz w:val="20"/>
        </w:rPr>
        <w:t>The following agreements have been made in RAN1#103e on different applicability restrictions/conditions for simultaneous operation multiplexing cases [1]: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rFonts w:eastAsia="Calibri"/>
                <w:b/>
                <w:bCs/>
                <w:sz w:val="20"/>
                <w:highlight w:val="green"/>
              </w:rPr>
            </w:pPr>
            <w:r>
              <w:rPr>
                <w:rFonts w:eastAsia="Calibri"/>
                <w:b/>
                <w:bCs/>
                <w:sz w:val="20"/>
                <w:highlight w:val="green"/>
              </w:rPr>
              <w:t>Agreement</w:t>
            </w:r>
          </w:p>
          <w:p>
            <w:pPr>
              <w:widowControl w:val="0"/>
              <w:spacing w:before="120" w:after="120"/>
              <w:rPr>
                <w:sz w:val="20"/>
              </w:rPr>
            </w:pPr>
            <w:r>
              <w:rPr>
                <w:sz w:val="20"/>
              </w:rPr>
              <w:t>Further consider different applicability restrictions/conditions for simultaneous operation multiplexing cases:</w:t>
            </w:r>
          </w:p>
          <w:p>
            <w:pPr>
              <w:pStyle w:val="27"/>
              <w:widowControl w:val="0"/>
              <w:numPr>
                <w:ilvl w:val="0"/>
                <w:numId w:val="8"/>
              </w:numPr>
              <w:spacing w:after="120"/>
              <w:textAlignment w:val="baseline"/>
              <w:rPr>
                <w:rFonts w:eastAsia="Calibri"/>
                <w:color w:val="000000"/>
                <w:sz w:val="20"/>
                <w:szCs w:val="20"/>
              </w:rPr>
            </w:pPr>
            <w:r>
              <w:rPr>
                <w:rFonts w:eastAsia="Calibri"/>
                <w:color w:val="000000"/>
                <w:sz w:val="20"/>
                <w:szCs w:val="20"/>
              </w:rPr>
              <w:t>FFS: Whether a given case is only applicable for certain resource types or combinations: e.g. DL access, DL backhaul, UL access, UL backhaul</w:t>
            </w:r>
          </w:p>
          <w:p>
            <w:pPr>
              <w:pStyle w:val="27"/>
              <w:widowControl w:val="0"/>
              <w:numPr>
                <w:ilvl w:val="0"/>
                <w:numId w:val="8"/>
              </w:numPr>
              <w:spacing w:after="120"/>
              <w:textAlignment w:val="baseline"/>
              <w:rPr>
                <w:rFonts w:eastAsia="Calibri"/>
                <w:color w:val="000000"/>
                <w:sz w:val="20"/>
                <w:szCs w:val="20"/>
              </w:rPr>
            </w:pPr>
            <w:r>
              <w:rPr>
                <w:rFonts w:eastAsia="Calibri"/>
                <w:color w:val="000000"/>
                <w:sz w:val="20"/>
                <w:szCs w:val="20"/>
              </w:rPr>
              <w:t>FFS: Network (including parent node) awareness of a child IAB node’s ability to support simultaneous operation due to short-term and long-term factors including panel selection, interference, timing, transmit power, capability indication etc.</w:t>
            </w:r>
          </w:p>
          <w:p>
            <w:pPr>
              <w:pStyle w:val="27"/>
              <w:widowControl w:val="0"/>
              <w:numPr>
                <w:ilvl w:val="0"/>
                <w:numId w:val="8"/>
              </w:numPr>
              <w:spacing w:after="120"/>
              <w:textAlignment w:val="baseline"/>
              <w:rPr>
                <w:rFonts w:eastAsia="Calibri"/>
                <w:color w:val="000000"/>
                <w:sz w:val="20"/>
                <w:szCs w:val="20"/>
              </w:rPr>
            </w:pPr>
            <w:r>
              <w:rPr>
                <w:rFonts w:eastAsia="Calibri"/>
                <w:color w:val="000000"/>
                <w:sz w:val="20"/>
                <w:szCs w:val="20"/>
              </w:rPr>
              <w:t>FFS: Necessary differentiation for paired spectrum vs. unpaired spectrum</w:t>
            </w:r>
          </w:p>
          <w:p>
            <w:pPr>
              <w:pStyle w:val="27"/>
              <w:widowControl w:val="0"/>
              <w:numPr>
                <w:ilvl w:val="0"/>
                <w:numId w:val="8"/>
              </w:numPr>
              <w:spacing w:after="120"/>
              <w:textAlignment w:val="baseline"/>
              <w:rPr>
                <w:rFonts w:eastAsia="Calibri"/>
                <w:color w:val="000000"/>
                <w:sz w:val="20"/>
                <w:szCs w:val="20"/>
              </w:rPr>
            </w:pPr>
            <w:r>
              <w:rPr>
                <w:rFonts w:eastAsia="Calibri"/>
                <w:color w:val="000000"/>
                <w:sz w:val="20"/>
                <w:szCs w:val="20"/>
              </w:rPr>
              <w:t>FFS: Whether specific enhancements are defined for full-duplex cases vs. being left to implementation (as in Rel-16)</w:t>
            </w:r>
          </w:p>
          <w:p>
            <w:pPr>
              <w:pStyle w:val="27"/>
              <w:widowControl w:val="0"/>
              <w:numPr>
                <w:ilvl w:val="0"/>
                <w:numId w:val="8"/>
              </w:numPr>
              <w:spacing w:after="120"/>
              <w:textAlignment w:val="baseline"/>
              <w:rPr>
                <w:rFonts w:eastAsia="Calibri"/>
                <w:color w:val="000000"/>
                <w:sz w:val="20"/>
                <w:szCs w:val="20"/>
              </w:rPr>
            </w:pPr>
            <w:r>
              <w:rPr>
                <w:rFonts w:eastAsia="Calibri"/>
                <w:color w:val="000000"/>
                <w:sz w:val="20"/>
                <w:szCs w:val="20"/>
              </w:rPr>
              <w:t>Note: There should not be any impact on legacy UE behavior</w:t>
            </w:r>
          </w:p>
          <w:p>
            <w:pPr>
              <w:widowControl w:val="0"/>
              <w:spacing w:before="120" w:after="120"/>
              <w:rPr>
                <w:sz w:val="20"/>
              </w:rPr>
            </w:pPr>
          </w:p>
        </w:tc>
      </w:tr>
    </w:tbl>
    <w:p>
      <w:pPr>
        <w:spacing w:before="120" w:after="120"/>
        <w:rPr>
          <w:sz w:val="20"/>
        </w:rPr>
      </w:pPr>
      <w:r>
        <w:rPr>
          <w:sz w:val="20"/>
        </w:rPr>
        <w:t>This section provides our views on the issue w</w:t>
      </w:r>
      <w:r>
        <w:rPr>
          <w:rFonts w:eastAsia="Calibri"/>
          <w:color w:val="000000"/>
          <w:sz w:val="20"/>
        </w:rPr>
        <w:t>hether specific enhancements are defined for full-duplex cases vs. being left to implementation</w:t>
      </w:r>
      <w:r>
        <w:rPr>
          <w:color w:val="000000"/>
          <w:sz w:val="20"/>
        </w:rPr>
        <w:t>.</w:t>
      </w:r>
    </w:p>
    <w:p>
      <w:pPr>
        <w:spacing w:beforeLines="0" w:afterLines="0" w:line="259" w:lineRule="auto"/>
        <w:rPr>
          <w:sz w:val="20"/>
        </w:rPr>
      </w:pPr>
      <w:r>
        <w:rPr>
          <w:sz w:val="20"/>
        </w:rPr>
        <w:t xml:space="preserve">For full-duplex operation (i.e., simultaneous DU-Tx/MT-Rx and simultaneous DU-Rx/MT-Tx), one traditional issue still exists: due to the same node being the transmitter and receiver at the same time, if the signal transmitted from the node itself (called signal A) gets looped back into receiver of the same node along with a signal received from a remote IAB node (called signal B), the signal A in its analog form is much stronger than the signal B. Then regardless whether the IAB node is equipped with AGC at receiver side, the limited number of digitizing bits in the analog-to-digital converter (ADC) would make it difficult to digitize both signal A and signal B with sufficient granularity upon the much weaker signal B. Any baseband technology can hardly solve this issue, which means RAN1 can do little for the solution. On the other hand, if it is feasible to separate signal A and signal B in their analog forms (before entering ADC), there is no interaction (such as </w:t>
      </w:r>
      <w:r>
        <w:rPr>
          <w:rFonts w:hint="eastAsia"/>
          <w:sz w:val="20"/>
        </w:rPr>
        <w:t>those interactions under</w:t>
      </w:r>
      <w:r>
        <w:rPr>
          <w:sz w:val="20"/>
        </w:rPr>
        <w:t xml:space="preserve"> “FDM/SDM overlapping”) between the two signals. Thus there is no need for RAN1 to work out any solution regarding to FDM/SDM. </w:t>
      </w:r>
    </w:p>
    <w:p>
      <w:pPr>
        <w:pStyle w:val="21"/>
        <w:spacing w:before="120" w:after="120"/>
        <w:rPr>
          <w:lang w:val="en-US" w:eastAsia="zh-CN"/>
        </w:rPr>
      </w:pPr>
      <w:bookmarkStart w:id="16" w:name="_Toc21074"/>
      <w:bookmarkStart w:id="17" w:name="_Toc9108"/>
      <w:r>
        <w:t>Support of full-duplex cases (i.e., simultaneous DU-Tx/MT-Rx and simultaneous DU-Rx/MT-Tx) is left to implementation</w:t>
      </w:r>
      <w:r>
        <w:rPr>
          <w:rFonts w:hint="eastAsia"/>
          <w:lang w:val="en-US" w:eastAsia="zh-CN"/>
        </w:rPr>
        <w:t>.</w:t>
      </w:r>
      <w:bookmarkEnd w:id="16"/>
      <w:bookmarkEnd w:id="17"/>
    </w:p>
    <w:p>
      <w:pPr>
        <w:pStyle w:val="3"/>
        <w:spacing w:before="120" w:after="120"/>
        <w:ind w:left="991" w:right="210" w:hanging="991" w:hangingChars="354"/>
        <w:rPr>
          <w:szCs w:val="22"/>
        </w:rPr>
      </w:pPr>
      <w:r>
        <w:t>Dual connectivit</w:t>
      </w:r>
      <w:r>
        <w:rPr>
          <w:rFonts w:hint="eastAsia" w:eastAsia="宋体"/>
        </w:rPr>
        <w:t>y</w:t>
      </w:r>
    </w:p>
    <w:p>
      <w:pPr>
        <w:spacing w:before="120" w:after="120"/>
        <w:rPr>
          <w:sz w:val="20"/>
        </w:rPr>
      </w:pPr>
      <w:r>
        <w:rPr>
          <w:sz w:val="20"/>
        </w:rPr>
        <w:t>The following agreements have been made in RAN1#103e on dual connectivity for IAB node [1].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rFonts w:eastAsia="Calibri"/>
                <w:b/>
                <w:bCs/>
                <w:sz w:val="20"/>
                <w:highlight w:val="green"/>
              </w:rPr>
            </w:pPr>
            <w:r>
              <w:rPr>
                <w:rFonts w:eastAsia="Calibri"/>
                <w:b/>
                <w:bCs/>
                <w:sz w:val="20"/>
                <w:highlight w:val="green"/>
              </w:rPr>
              <w:t>Agreement</w:t>
            </w:r>
          </w:p>
          <w:p>
            <w:pPr>
              <w:widowControl w:val="0"/>
              <w:spacing w:before="120" w:after="120"/>
              <w:rPr>
                <w:rFonts w:eastAsia="Batang"/>
                <w:sz w:val="20"/>
              </w:rPr>
            </w:pPr>
            <w:r>
              <w:rPr>
                <w:sz w:val="20"/>
              </w:rPr>
              <w:t xml:space="preserve">From a RAN1 perspective, at least intra-donor multi-parent operation is supported in Rel-17 </w:t>
            </w:r>
          </w:p>
          <w:p>
            <w:pPr>
              <w:pStyle w:val="27"/>
              <w:widowControl w:val="0"/>
              <w:numPr>
                <w:ilvl w:val="0"/>
                <w:numId w:val="8"/>
              </w:numPr>
              <w:spacing w:after="120"/>
              <w:textAlignment w:val="baseline"/>
              <w:rPr>
                <w:rFonts w:eastAsia="Calibri"/>
                <w:color w:val="000000"/>
                <w:sz w:val="20"/>
                <w:szCs w:val="20"/>
              </w:rPr>
            </w:pPr>
            <w:r>
              <w:rPr>
                <w:rFonts w:eastAsia="Calibri"/>
                <w:color w:val="000000"/>
                <w:sz w:val="20"/>
                <w:szCs w:val="20"/>
              </w:rPr>
              <w:t>FFS: Inter-donor operation pending additional input from RAN2/RAN3</w:t>
            </w:r>
          </w:p>
          <w:p>
            <w:pPr>
              <w:widowControl w:val="0"/>
              <w:spacing w:before="120" w:after="120"/>
              <w:rPr>
                <w:rFonts w:eastAsia="Calibri"/>
                <w:b/>
                <w:bCs/>
                <w:sz w:val="20"/>
                <w:highlight w:val="green"/>
              </w:rPr>
            </w:pPr>
            <w:r>
              <w:rPr>
                <w:rFonts w:eastAsia="Calibri"/>
                <w:b/>
                <w:bCs/>
                <w:sz w:val="20"/>
                <w:highlight w:val="green"/>
              </w:rPr>
              <w:t>Agreement</w:t>
            </w:r>
          </w:p>
          <w:p>
            <w:pPr>
              <w:widowControl w:val="0"/>
              <w:spacing w:before="120" w:after="120"/>
              <w:rPr>
                <w:rFonts w:eastAsia="Batang"/>
                <w:sz w:val="20"/>
              </w:rPr>
            </w:pPr>
            <w:r>
              <w:rPr>
                <w:sz w:val="20"/>
              </w:rPr>
              <w:t>The explicit indication of soft resources by DCI Format 2_5 is supported for multi-parent scenarios in Rel-17.</w:t>
            </w:r>
          </w:p>
          <w:p>
            <w:pPr>
              <w:pStyle w:val="27"/>
              <w:widowControl w:val="0"/>
              <w:numPr>
                <w:ilvl w:val="0"/>
                <w:numId w:val="8"/>
              </w:numPr>
              <w:spacing w:after="120"/>
              <w:textAlignment w:val="baseline"/>
              <w:rPr>
                <w:rFonts w:eastAsia="Calibri"/>
                <w:color w:val="000000"/>
                <w:sz w:val="20"/>
                <w:szCs w:val="20"/>
              </w:rPr>
            </w:pPr>
            <w:r>
              <w:rPr>
                <w:rFonts w:eastAsia="Calibri"/>
                <w:color w:val="000000"/>
                <w:sz w:val="20"/>
                <w:szCs w:val="20"/>
              </w:rPr>
              <w:t>FFS: Whether additional enhancements over the Rel-16 solution are needed</w:t>
            </w:r>
          </w:p>
          <w:p>
            <w:pPr>
              <w:widowControl w:val="0"/>
              <w:spacing w:before="120" w:after="120"/>
              <w:rPr>
                <w:b/>
                <w:bCs/>
                <w:sz w:val="20"/>
              </w:rPr>
            </w:pPr>
            <w:r>
              <w:rPr>
                <w:b/>
                <w:bCs/>
                <w:sz w:val="20"/>
                <w:highlight w:val="green"/>
              </w:rPr>
              <w:t>Agreement</w:t>
            </w:r>
          </w:p>
          <w:p>
            <w:pPr>
              <w:widowControl w:val="0"/>
              <w:spacing w:before="120" w:after="120"/>
              <w:rPr>
                <w:sz w:val="20"/>
              </w:rPr>
            </w:pPr>
            <w:r>
              <w:rPr>
                <w:sz w:val="20"/>
              </w:rPr>
              <w:t>From a RAN1 perspective, resource multiplexing and coordination is supported for the following DC scenarios in Rel-17.</w:t>
            </w:r>
          </w:p>
          <w:p>
            <w:pPr>
              <w:pStyle w:val="27"/>
              <w:widowControl w:val="0"/>
              <w:numPr>
                <w:ilvl w:val="0"/>
                <w:numId w:val="8"/>
              </w:numPr>
              <w:spacing w:after="120"/>
              <w:textAlignment w:val="baseline"/>
              <w:rPr>
                <w:rFonts w:eastAsia="Calibri"/>
                <w:color w:val="000000"/>
                <w:sz w:val="20"/>
                <w:szCs w:val="20"/>
              </w:rPr>
            </w:pPr>
            <w:r>
              <w:rPr>
                <w:rFonts w:eastAsia="Calibri"/>
                <w:color w:val="000000"/>
                <w:sz w:val="20"/>
                <w:szCs w:val="20"/>
              </w:rPr>
              <w:t xml:space="preserve">Inter-carrier, inter-band </w:t>
            </w:r>
          </w:p>
          <w:p>
            <w:pPr>
              <w:pStyle w:val="27"/>
              <w:widowControl w:val="0"/>
              <w:numPr>
                <w:ilvl w:val="0"/>
                <w:numId w:val="8"/>
              </w:numPr>
              <w:spacing w:after="120"/>
              <w:textAlignment w:val="baseline"/>
              <w:rPr>
                <w:rFonts w:eastAsia="Calibri"/>
                <w:color w:val="000000"/>
                <w:sz w:val="20"/>
                <w:szCs w:val="20"/>
              </w:rPr>
            </w:pPr>
            <w:r>
              <w:rPr>
                <w:rFonts w:eastAsia="Calibri"/>
                <w:color w:val="000000"/>
                <w:sz w:val="20"/>
                <w:szCs w:val="20"/>
              </w:rPr>
              <w:t xml:space="preserve">Inter-carrier, intra-band is additionally supported at least for FR2 </w:t>
            </w:r>
          </w:p>
          <w:p>
            <w:pPr>
              <w:pStyle w:val="27"/>
              <w:widowControl w:val="0"/>
              <w:numPr>
                <w:ilvl w:val="1"/>
                <w:numId w:val="8"/>
              </w:numPr>
              <w:spacing w:after="120"/>
              <w:textAlignment w:val="baseline"/>
              <w:rPr>
                <w:rFonts w:eastAsia="Calibri"/>
                <w:color w:val="000000"/>
                <w:sz w:val="20"/>
                <w:szCs w:val="20"/>
              </w:rPr>
            </w:pPr>
            <w:r>
              <w:rPr>
                <w:rFonts w:eastAsia="Calibri"/>
                <w:color w:val="000000"/>
                <w:sz w:val="20"/>
                <w:szCs w:val="20"/>
              </w:rPr>
              <w:t>At least to the extent it reuses solutions for supporting Inter-carrier, inter-band</w:t>
            </w:r>
          </w:p>
          <w:p>
            <w:pPr>
              <w:pStyle w:val="27"/>
              <w:widowControl w:val="0"/>
              <w:numPr>
                <w:ilvl w:val="1"/>
                <w:numId w:val="8"/>
              </w:numPr>
              <w:spacing w:after="120"/>
              <w:textAlignment w:val="baseline"/>
              <w:rPr>
                <w:rFonts w:eastAsia="Calibri"/>
                <w:color w:val="000000"/>
                <w:sz w:val="20"/>
                <w:szCs w:val="20"/>
              </w:rPr>
            </w:pPr>
            <w:r>
              <w:rPr>
                <w:rFonts w:eastAsia="Calibri"/>
                <w:color w:val="000000"/>
                <w:sz w:val="20"/>
                <w:szCs w:val="20"/>
              </w:rPr>
              <w:t>FFS: whether specific enhancements for inter-carrier, intra-band DC are introduced in Rel-17</w:t>
            </w:r>
          </w:p>
          <w:p>
            <w:pPr>
              <w:widowControl w:val="0"/>
              <w:spacing w:before="120" w:after="120"/>
              <w:rPr>
                <w:sz w:val="20"/>
              </w:rPr>
            </w:pPr>
          </w:p>
        </w:tc>
      </w:tr>
    </w:tbl>
    <w:p>
      <w:pPr>
        <w:spacing w:beforeLines="0" w:afterLines="0" w:line="259" w:lineRule="auto"/>
        <w:rPr>
          <w:sz w:val="20"/>
        </w:rPr>
      </w:pPr>
      <w:r>
        <w:rPr>
          <w:sz w:val="20"/>
        </w:rPr>
        <w:t>In this section, we provide views on FFSs in the above three agreements respectively.</w:t>
      </w:r>
    </w:p>
    <w:p>
      <w:pPr>
        <w:spacing w:before="120" w:after="120"/>
        <w:rPr>
          <w:b/>
          <w:i/>
          <w:sz w:val="20"/>
          <w:u w:val="single"/>
        </w:rPr>
      </w:pPr>
      <w:r>
        <w:rPr>
          <w:b/>
          <w:i/>
          <w:sz w:val="20"/>
          <w:u w:val="single"/>
        </w:rPr>
        <w:t>Inter-donor DC</w:t>
      </w:r>
    </w:p>
    <w:p>
      <w:pPr>
        <w:spacing w:before="120" w:after="120"/>
        <w:rPr>
          <w:sz w:val="20"/>
        </w:rPr>
      </w:pPr>
      <w:r>
        <w:rPr>
          <w:rFonts w:hint="eastAsia"/>
          <w:sz w:val="20"/>
        </w:rPr>
        <w:t xml:space="preserve">RAN3 sent </w:t>
      </w:r>
      <w:r>
        <w:rPr>
          <w:sz w:val="20"/>
        </w:rPr>
        <w:t xml:space="preserve">to RAN1 </w:t>
      </w:r>
      <w:r>
        <w:rPr>
          <w:rFonts w:hint="eastAsia"/>
          <w:sz w:val="20"/>
        </w:rPr>
        <w:t xml:space="preserve">an LS on inter-donor topology redundancy in IAB [3]. RAN3 thinks it may require the work in RAN1 to support inter-donor topology redundancy, so RAN3 also asks RAN1 whether this can be supported in Rel-17. </w:t>
      </w:r>
      <w:r>
        <w:rPr>
          <w:sz w:val="20"/>
        </w:rPr>
        <w:t xml:space="preserve">As the above agreements, only intra-donor inter-carrier DC was clearly supported from RAN1’s perspective. </w:t>
      </w:r>
      <w:r>
        <w:rPr>
          <w:color w:val="000000"/>
          <w:sz w:val="20"/>
        </w:rPr>
        <w:t>The support of intra-carrier DC scenario for IAB-MT was discussed in RAN#89e with no consensus reached</w:t>
      </w:r>
      <w:r>
        <w:rPr>
          <w:sz w:val="20"/>
        </w:rPr>
        <w:t xml:space="preserve">. </w:t>
      </w:r>
      <w:r>
        <w:rPr>
          <w:color w:val="000000"/>
          <w:sz w:val="20"/>
        </w:rPr>
        <w:t>Later, it was also discussed at RAN1#103-e and RP#90-e, and still no conclusion was achieved for intra-carrier DC after several rounds of RAN1 and RAN plenary discussion. S</w:t>
      </w:r>
      <w:r>
        <w:rPr>
          <w:sz w:val="20"/>
        </w:rPr>
        <w:t>o it is better to suspend the related discussion at RAN WGs until clear RAN plenary guidance was received.</w:t>
      </w:r>
    </w:p>
    <w:p>
      <w:pPr>
        <w:pStyle w:val="20"/>
        <w:spacing w:before="120" w:after="120"/>
        <w:rPr>
          <w:lang w:val="en-US" w:eastAsia="zh-CN"/>
        </w:rPr>
      </w:pPr>
      <w:r>
        <w:t xml:space="preserve"> </w:t>
      </w:r>
      <w:bookmarkStart w:id="18" w:name="_Toc21994"/>
      <w:bookmarkStart w:id="19" w:name="_Toc7747"/>
      <w:r>
        <w:t>From RAN1’s perspective, only inter-carrier DC was clearly supported, intra-carrier DC has not been supported</w:t>
      </w:r>
      <w:r>
        <w:rPr>
          <w:rFonts w:hint="eastAsia"/>
          <w:lang w:val="en-US" w:eastAsia="zh-CN"/>
        </w:rPr>
        <w:t>.</w:t>
      </w:r>
      <w:bookmarkEnd w:id="18"/>
      <w:bookmarkEnd w:id="19"/>
      <w:r>
        <w:rPr>
          <w:rFonts w:hint="eastAsia"/>
          <w:lang w:val="en-US" w:eastAsia="zh-CN"/>
        </w:rPr>
        <w:t xml:space="preserve">  </w:t>
      </w:r>
    </w:p>
    <w:p>
      <w:pPr>
        <w:spacing w:before="120" w:after="120"/>
        <w:rPr>
          <w:sz w:val="20"/>
        </w:rPr>
      </w:pPr>
      <w:r>
        <w:rPr>
          <w:sz w:val="20"/>
        </w:rPr>
        <w:t xml:space="preserve">For inter-donor intra-carrier DC, it is better to suspend the related discussion since intra-carrier DC has </w:t>
      </w:r>
      <w:r>
        <w:rPr>
          <w:rFonts w:hint="eastAsia"/>
          <w:sz w:val="20"/>
        </w:rPr>
        <w:t xml:space="preserve">not </w:t>
      </w:r>
      <w:r>
        <w:rPr>
          <w:sz w:val="20"/>
        </w:rPr>
        <w:t xml:space="preserve">been supported according to current WID. For inter-donor inter-carrier DC, an IAB-DU </w:t>
      </w:r>
      <w:r>
        <w:rPr>
          <w:bCs/>
          <w:color w:val="000000"/>
          <w:kern w:val="24"/>
          <w:sz w:val="20"/>
        </w:rPr>
        <w:t xml:space="preserve">with two parent nodes belonging to two different donors </w:t>
      </w:r>
      <w:r>
        <w:rPr>
          <w:sz w:val="20"/>
        </w:rPr>
        <w:t xml:space="preserve">only has F1 interface with one donor CU. Resource configurations for IAB-DU and one of two parent DUs can be provided by different donor CUs. </w:t>
      </w:r>
      <w:r>
        <w:rPr>
          <w:bCs/>
          <w:color w:val="000000"/>
          <w:kern w:val="24"/>
          <w:sz w:val="20"/>
        </w:rPr>
        <w:t xml:space="preserve">IAB-DU resource configuration should consider the collocated IAB-MT’s resource allocation from two parent DUs, which may impact the resource multiplexing scheme between the collocated IAB-MT and IAB-DU. Therefore, </w:t>
      </w:r>
      <w:r>
        <w:rPr>
          <w:sz w:val="20"/>
        </w:rPr>
        <w:t>the resource coordination between gNBs(CUs) should be considered if inter-donor inter-carrier DC was supported.</w:t>
      </w:r>
    </w:p>
    <w:p>
      <w:pPr>
        <w:pStyle w:val="20"/>
        <w:spacing w:before="120" w:after="120"/>
        <w:rPr>
          <w:lang w:val="en-US" w:eastAsia="zh-CN"/>
        </w:rPr>
      </w:pPr>
      <w:r>
        <w:t xml:space="preserve"> </w:t>
      </w:r>
      <w:bookmarkStart w:id="20" w:name="_Toc1628"/>
      <w:bookmarkStart w:id="21" w:name="_Toc8995"/>
      <w:r>
        <w:t>Some enhancements for resource coordination between gNBs(donor</w:t>
      </w:r>
      <w:r>
        <w:rPr>
          <w:rFonts w:hint="eastAsia"/>
          <w:lang w:val="en-US" w:eastAsia="zh-CN"/>
        </w:rPr>
        <w:t xml:space="preserve"> </w:t>
      </w:r>
      <w:r>
        <w:t>CUs) would be introduced  if inter-donor inter-carrier DC w</w:t>
      </w:r>
      <w:r>
        <w:rPr>
          <w:rFonts w:hint="eastAsia"/>
          <w:lang w:val="en-US" w:eastAsia="zh-CN"/>
        </w:rPr>
        <w:t>ere</w:t>
      </w:r>
      <w:r>
        <w:t xml:space="preserve"> supported</w:t>
      </w:r>
      <w:r>
        <w:rPr>
          <w:rFonts w:hint="eastAsia"/>
          <w:lang w:val="en-US" w:eastAsia="zh-CN"/>
        </w:rPr>
        <w:t>.</w:t>
      </w:r>
      <w:bookmarkEnd w:id="20"/>
      <w:bookmarkEnd w:id="21"/>
      <w:r>
        <w:rPr>
          <w:rFonts w:hint="eastAsia"/>
          <w:lang w:val="en-US" w:eastAsia="zh-CN"/>
        </w:rPr>
        <w:t xml:space="preserve">  </w:t>
      </w:r>
    </w:p>
    <w:p>
      <w:pPr>
        <w:spacing w:before="120" w:after="120"/>
        <w:rPr>
          <w:sz w:val="20"/>
        </w:rPr>
      </w:pPr>
      <w:r>
        <w:rPr>
          <w:sz w:val="20"/>
        </w:rPr>
        <w:t>As the analysis above, the impact of such enhancements for inter-carrier inter-donor DC are mainly at RAN3, so it is better to RAN3 to determine whether inter-carrier inter-donor DC is supported.</w:t>
      </w:r>
    </w:p>
    <w:p>
      <w:pPr>
        <w:pStyle w:val="21"/>
        <w:spacing w:before="120" w:after="120"/>
        <w:rPr>
          <w:lang w:val="en-US" w:eastAsia="zh-CN"/>
        </w:rPr>
      </w:pPr>
      <w:bookmarkStart w:id="22" w:name="_Toc8598"/>
      <w:bookmarkStart w:id="23" w:name="_Toc21451"/>
      <w:r>
        <w:t>It is up to RAN3 to determine whether inter-donor inter-carrier DC is supported</w:t>
      </w:r>
      <w:r>
        <w:rPr>
          <w:rFonts w:hint="eastAsia"/>
          <w:lang w:val="en-US" w:eastAsia="zh-CN"/>
        </w:rPr>
        <w:t>.</w:t>
      </w:r>
      <w:bookmarkEnd w:id="22"/>
      <w:bookmarkEnd w:id="23"/>
    </w:p>
    <w:p>
      <w:pPr>
        <w:spacing w:before="120" w:after="120"/>
        <w:rPr>
          <w:b/>
          <w:i/>
          <w:sz w:val="20"/>
          <w:u w:val="single"/>
        </w:rPr>
      </w:pPr>
    </w:p>
    <w:p>
      <w:pPr>
        <w:spacing w:before="120" w:after="120"/>
        <w:rPr>
          <w:b/>
          <w:i/>
          <w:sz w:val="20"/>
          <w:u w:val="single"/>
        </w:rPr>
      </w:pPr>
      <w:r>
        <w:rPr>
          <w:b/>
          <w:i/>
          <w:sz w:val="20"/>
          <w:u w:val="single"/>
        </w:rPr>
        <w:t>DCI Format 2_5 for multi-parent scenarios</w:t>
      </w:r>
    </w:p>
    <w:p>
      <w:pPr>
        <w:spacing w:before="120" w:after="120"/>
        <w:rPr>
          <w:b/>
          <w:bCs/>
          <w:i/>
          <w:iCs/>
          <w:sz w:val="20"/>
        </w:rPr>
      </w:pPr>
      <w:r>
        <w:rPr>
          <w:sz w:val="20"/>
        </w:rPr>
        <w:t>In general, there is no ideal backhaul link between IAB nodes. Dynamic coordination (e.g. coordination of availability information indicated by DCI Format 2_5) between two parent nodes is not possible. This means the semi-static resource configuration/coordination (e.g. H/S.NA resource) between two parent nodes or deploying appropriate carriers for IAB-DU and two parent DUs is</w:t>
      </w:r>
      <w:r>
        <w:rPr>
          <w:rFonts w:hint="eastAsia"/>
          <w:sz w:val="20"/>
        </w:rPr>
        <w:t xml:space="preserve"> instead</w:t>
      </w:r>
      <w:r>
        <w:rPr>
          <w:sz w:val="20"/>
        </w:rPr>
        <w:t xml:space="preserve"> a feasible way to solve the problem of resource collision in multi-parent scenarios.</w:t>
      </w:r>
    </w:p>
    <w:p>
      <w:pPr>
        <w:pStyle w:val="20"/>
        <w:spacing w:before="120" w:after="120"/>
        <w:rPr>
          <w:lang w:val="en-US" w:eastAsia="zh-CN"/>
        </w:rPr>
      </w:pPr>
      <w:r>
        <w:t xml:space="preserve"> </w:t>
      </w:r>
      <w:bookmarkStart w:id="24" w:name="_Toc32055"/>
      <w:bookmarkStart w:id="25" w:name="_Toc6807"/>
      <w:r>
        <w:t>There is no ideal backhaul link between IAB nodes, dynamic coordination between two parent nodes is not possible</w:t>
      </w:r>
      <w:r>
        <w:rPr>
          <w:rFonts w:hint="eastAsia"/>
          <w:lang w:val="en-US" w:eastAsia="zh-CN"/>
        </w:rPr>
        <w:t>.</w:t>
      </w:r>
      <w:bookmarkEnd w:id="24"/>
      <w:bookmarkEnd w:id="25"/>
      <w:r>
        <w:rPr>
          <w:rFonts w:hint="eastAsia"/>
          <w:lang w:val="en-US" w:eastAsia="zh-CN"/>
        </w:rPr>
        <w:t xml:space="preserve">  </w:t>
      </w:r>
    </w:p>
    <w:p>
      <w:pPr>
        <w:spacing w:before="120" w:after="120"/>
        <w:rPr>
          <w:sz w:val="20"/>
        </w:rPr>
      </w:pPr>
      <w:r>
        <w:rPr>
          <w:sz w:val="20"/>
        </w:rPr>
        <w:t xml:space="preserve">For inter-carrier, inter-band DC, two parent nodes of IAB node can schedule IAB-MT and provide availability indication of soft resources in different bands. </w:t>
      </w:r>
      <w:r>
        <w:rPr>
          <w:rFonts w:hint="eastAsia"/>
          <w:sz w:val="20"/>
        </w:rPr>
        <w:t>T</w:t>
      </w:r>
      <w:r>
        <w:rPr>
          <w:sz w:val="20"/>
        </w:rPr>
        <w:t xml:space="preserve">here is only half duplexing constraint between child link and one parent link in one carrier of IAB-DU. This case is similar as Rel-16 IAB, no additional enhancements over the Rel-16 solution are needed. </w:t>
      </w:r>
    </w:p>
    <w:p>
      <w:pPr>
        <w:spacing w:beforeLines="0" w:afterLines="0"/>
        <w:rPr>
          <w:sz w:val="20"/>
        </w:rPr>
      </w:pPr>
      <w:r>
        <w:rPr>
          <w:sz w:val="20"/>
        </w:rPr>
        <w:t>For inter-carrier, intra-band DC, it is possible that there is half duplexing constraint between two carriers belonging to the same band. However, this issue can be avoided by deploying appropriate carriers for IAB-DU and two parent DUs, or by semi-static resource configuration/coordination (e.g. H/S.NA resource) between two parent nodes.</w:t>
      </w:r>
    </w:p>
    <w:p>
      <w:pPr>
        <w:pStyle w:val="21"/>
        <w:spacing w:before="120" w:after="120"/>
        <w:rPr>
          <w:lang w:val="en-US" w:eastAsia="zh-CN"/>
        </w:rPr>
      </w:pPr>
      <w:bookmarkStart w:id="26" w:name="_Toc14260"/>
      <w:bookmarkStart w:id="27" w:name="_Toc18001"/>
      <w:r>
        <w:t xml:space="preserve">The explicit indication of soft </w:t>
      </w:r>
      <w:r>
        <w:rPr>
          <w:rFonts w:hint="eastAsia"/>
          <w:lang w:eastAsia="zh-CN"/>
        </w:rPr>
        <w:t xml:space="preserve">time domain </w:t>
      </w:r>
      <w:r>
        <w:t>resources by DCI Format 2_5 is reused for multi-parent scenarios in Rel-17</w:t>
      </w:r>
      <w:r>
        <w:rPr>
          <w:rFonts w:hint="eastAsia"/>
          <w:lang w:val="en-US" w:eastAsia="zh-CN"/>
        </w:rPr>
        <w:t>.</w:t>
      </w:r>
      <w:bookmarkEnd w:id="26"/>
      <w:r>
        <w:rPr>
          <w:rFonts w:eastAsia="Calibri"/>
          <w:color w:val="000000"/>
        </w:rPr>
        <w:t xml:space="preserve"> </w:t>
      </w:r>
      <w:r>
        <w:rPr>
          <w:rFonts w:hint="eastAsia"/>
          <w:color w:val="000000"/>
          <w:lang w:eastAsia="zh-CN"/>
        </w:rPr>
        <w:t xml:space="preserve">There is no need to consider </w:t>
      </w:r>
      <w:r>
        <w:rPr>
          <w:rFonts w:eastAsia="Calibri"/>
          <w:color w:val="000000"/>
        </w:rPr>
        <w:t>additional enhancements over the Rel-16 solution</w:t>
      </w:r>
      <w:r>
        <w:rPr>
          <w:rFonts w:hint="eastAsia"/>
          <w:color w:val="000000"/>
          <w:lang w:eastAsia="zh-CN"/>
        </w:rPr>
        <w:t>.</w:t>
      </w:r>
      <w:bookmarkEnd w:id="27"/>
    </w:p>
    <w:p>
      <w:pPr>
        <w:spacing w:beforeLines="0" w:afterLines="0"/>
        <w:rPr>
          <w:sz w:val="20"/>
        </w:rPr>
      </w:pPr>
      <w:r>
        <w:rPr>
          <w:b/>
          <w:i/>
          <w:sz w:val="20"/>
          <w:u w:val="single"/>
        </w:rPr>
        <w:t>Support of inter-carrier, intra-band DC</w:t>
      </w:r>
    </w:p>
    <w:p>
      <w:pPr>
        <w:spacing w:beforeLines="0" w:afterLines="0" w:line="259" w:lineRule="auto"/>
        <w:rPr>
          <w:sz w:val="20"/>
        </w:rPr>
      </w:pPr>
      <w:r>
        <w:rPr>
          <w:sz w:val="20"/>
        </w:rPr>
        <w:t xml:space="preserve">For inter-carrier intra-band DC, it is the same case as inter-band inter-carrier DC if </w:t>
      </w:r>
      <w:r>
        <w:rPr>
          <w:rFonts w:hint="eastAsia"/>
          <w:sz w:val="20"/>
        </w:rPr>
        <w:t xml:space="preserve">there exists </w:t>
      </w:r>
      <w:r>
        <w:rPr>
          <w:sz w:val="20"/>
        </w:rPr>
        <w:t>no half duplexing constraint between two parent-links. On the other hand, inter-carrier, intra-band DC may require two parent nodes to align their TDD DL/UL configuration to reduce the mutual interference if half duplexing constraint is required. For intra-donor DC, the same TDD DL/UL configuration for two parent nodes can be provided by the same donor CU. For inter-donor DC if supported, the DL/UL configuration can also be exchanged via Xn interface. From RAN1 perspective</w:t>
      </w:r>
      <w:r>
        <w:rPr>
          <w:rFonts w:hint="eastAsia"/>
          <w:sz w:val="20"/>
        </w:rPr>
        <w:t>,</w:t>
      </w:r>
      <w:r>
        <w:rPr>
          <w:sz w:val="20"/>
        </w:rPr>
        <w:t xml:space="preserve"> inter-carrier DC means the resources of two parent nodes is FDM. In the case of TDD DL/UL configuration alignment, inter-carrier, intra-band DU can reuse solutions for supporting inter-carrier</w:t>
      </w:r>
      <w:r>
        <w:rPr>
          <w:rFonts w:hint="eastAsia"/>
          <w:sz w:val="20"/>
        </w:rPr>
        <w:t>,</w:t>
      </w:r>
      <w:r>
        <w:rPr>
          <w:sz w:val="20"/>
        </w:rPr>
        <w:t xml:space="preserve"> inter-band to reduce the standardization complexity</w:t>
      </w:r>
      <w:r>
        <w:rPr>
          <w:rFonts w:hint="eastAsia"/>
          <w:sz w:val="20"/>
        </w:rPr>
        <w:t>.</w:t>
      </w:r>
    </w:p>
    <w:p>
      <w:pPr>
        <w:pStyle w:val="21"/>
        <w:spacing w:before="120" w:after="120"/>
        <w:rPr>
          <w:lang w:val="en-US" w:eastAsia="zh-CN"/>
        </w:rPr>
      </w:pPr>
      <w:bookmarkStart w:id="28" w:name="_Toc30601"/>
      <w:bookmarkStart w:id="29" w:name="_Toc22127"/>
      <w:r>
        <w:t>From RAN1 perspective, inter-carrier, intra-band DU should reuse solutions for supporting Inter-carrier, inter-band</w:t>
      </w:r>
      <w:r>
        <w:rPr>
          <w:rFonts w:hint="eastAsia"/>
          <w:lang w:val="en-US" w:eastAsia="zh-CN"/>
        </w:rPr>
        <w:t>.</w:t>
      </w:r>
      <w:bookmarkEnd w:id="28"/>
      <w:r>
        <w:rPr>
          <w:rFonts w:hint="eastAsia"/>
          <w:lang w:val="en-US" w:eastAsia="zh-CN"/>
        </w:rPr>
        <w:t xml:space="preserve"> There is no need to introduce </w:t>
      </w:r>
      <w:r>
        <w:rPr>
          <w:rFonts w:eastAsia="Calibri"/>
          <w:color w:val="000000"/>
        </w:rPr>
        <w:t>specific enhancements for inter-carrier, intra-band DC in Rel-17</w:t>
      </w:r>
      <w:r>
        <w:rPr>
          <w:rFonts w:hint="eastAsia"/>
          <w:lang w:val="en-US" w:eastAsia="zh-CN"/>
        </w:rPr>
        <w:t>.</w:t>
      </w:r>
      <w:bookmarkEnd w:id="29"/>
      <w:r>
        <w:rPr>
          <w:rFonts w:hint="eastAsia"/>
          <w:lang w:val="en-US" w:eastAsia="zh-CN"/>
        </w:rPr>
        <w:t xml:space="preserve"> </w:t>
      </w:r>
    </w:p>
    <w:p>
      <w:pPr>
        <w:spacing w:before="120" w:after="120"/>
      </w:pPr>
    </w:p>
    <w:p>
      <w:pPr>
        <w:pStyle w:val="2"/>
        <w:spacing w:before="120" w:after="120"/>
        <w:ind w:left="0"/>
        <w:rPr>
          <w:rFonts w:eastAsia="宋体"/>
        </w:rPr>
      </w:pPr>
      <w:r>
        <w:rPr>
          <w:rFonts w:hint="eastAsia" w:eastAsia="宋体"/>
        </w:rPr>
        <w:t>Conclusion</w:t>
      </w:r>
    </w:p>
    <w:p>
      <w:pPr>
        <w:spacing w:before="120" w:after="120"/>
        <w:rPr>
          <w:szCs w:val="22"/>
        </w:rPr>
      </w:pPr>
      <w:r>
        <w:rPr>
          <w:sz w:val="20"/>
        </w:rPr>
        <w:t>According to the discussion above, we provide the following observation</w:t>
      </w:r>
      <w:r>
        <w:rPr>
          <w:rFonts w:hint="eastAsia"/>
          <w:sz w:val="20"/>
        </w:rPr>
        <w:t>s</w:t>
      </w:r>
      <w:r>
        <w:rPr>
          <w:sz w:val="20"/>
        </w:rPr>
        <w:t xml:space="preserve"> and proposals on resource multiplexing of IAB</w:t>
      </w:r>
      <w:r>
        <w:rPr>
          <w:rFonts w:hint="eastAsia"/>
          <w:sz w:val="20"/>
        </w:rPr>
        <w:t>:</w:t>
      </w:r>
    </w:p>
    <w:p>
      <w:pPr>
        <w:pStyle w:val="11"/>
        <w:tabs>
          <w:tab w:val="clear" w:pos="0"/>
        </w:tabs>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rPr>
          <w:szCs w:val="22"/>
        </w:rPr>
        <w:fldChar w:fldCharType="begin"/>
      </w:r>
      <w:r>
        <w:rPr>
          <w:szCs w:val="22"/>
        </w:rPr>
        <w:instrText xml:space="preserve"> HYPERLINK \l _Toc22133 </w:instrText>
      </w:r>
      <w:r>
        <w:rPr>
          <w:szCs w:val="22"/>
        </w:rPr>
        <w:fldChar w:fldCharType="separate"/>
      </w:r>
      <w:r>
        <w:rPr>
          <w:rFonts w:hint="default" w:ascii="Times New Roman" w:hAnsi="Times New Roman" w:eastAsia="宋体" w:cs="Times New Roman"/>
          <w:bCs/>
          <w:i/>
          <w:iCs/>
          <w:lang w:val="en-US" w:eastAsia="zh-CN"/>
        </w:rPr>
        <w:t xml:space="preserve">Observation 1: </w:t>
      </w:r>
      <w:r>
        <w:rPr>
          <w:rFonts w:hint="eastAsia"/>
          <w:lang w:eastAsia="zh-CN"/>
        </w:rPr>
        <w:t xml:space="preserve">It's forseeable that </w:t>
      </w:r>
      <w:r>
        <w:t xml:space="preserve">A lot of normative works could </w:t>
      </w:r>
      <w:r>
        <w:rPr>
          <w:rFonts w:hint="eastAsia"/>
          <w:lang w:eastAsia="zh-CN"/>
        </w:rPr>
        <w:t>be incurred</w:t>
      </w:r>
      <w:r>
        <w:t xml:space="preserve"> if the indication of the dynamic availability of soft resources in frequency domain </w:t>
      </w:r>
      <w:r>
        <w:rPr>
          <w:rFonts w:hint="eastAsia"/>
          <w:lang w:eastAsia="zh-CN"/>
        </w:rPr>
        <w:t>were</w:t>
      </w:r>
      <w:r>
        <w:t xml:space="preserve"> supported </w:t>
      </w:r>
      <w:r>
        <w:rPr>
          <w:rFonts w:hint="eastAsia"/>
          <w:lang w:eastAsia="zh-CN"/>
        </w:rPr>
        <w:t>yet</w:t>
      </w:r>
      <w:r>
        <w:t xml:space="preserve"> the benefit is not clear</w:t>
      </w:r>
      <w:r>
        <w:rPr>
          <w:rFonts w:hint="eastAsia"/>
          <w:lang w:val="en-US" w:eastAsia="zh-CN"/>
        </w:rPr>
        <w:t>.</w:t>
      </w:r>
      <w:r>
        <w:rPr>
          <w:szCs w:val="22"/>
        </w:rPr>
        <w:fldChar w:fldCharType="end"/>
      </w:r>
    </w:p>
    <w:p>
      <w:pPr>
        <w:pStyle w:val="11"/>
        <w:tabs>
          <w:tab w:val="clear" w:pos="0"/>
        </w:tabs>
      </w:pPr>
      <w:r>
        <w:rPr>
          <w:szCs w:val="22"/>
        </w:rPr>
        <w:fldChar w:fldCharType="begin"/>
      </w:r>
      <w:r>
        <w:rPr>
          <w:szCs w:val="22"/>
        </w:rPr>
        <w:instrText xml:space="preserve"> HYPERLINK \l _Toc7747 </w:instrText>
      </w:r>
      <w:r>
        <w:rPr>
          <w:szCs w:val="22"/>
        </w:rPr>
        <w:fldChar w:fldCharType="separate"/>
      </w:r>
      <w:r>
        <w:rPr>
          <w:rFonts w:hint="default" w:ascii="Times New Roman" w:hAnsi="Times New Roman" w:eastAsia="宋体" w:cs="Times New Roman"/>
          <w:bCs/>
          <w:i/>
          <w:iCs/>
          <w:lang w:val="en-US" w:eastAsia="zh-CN"/>
        </w:rPr>
        <w:t xml:space="preserve">Observation 2: </w:t>
      </w:r>
      <w:r>
        <w:t>From RAN1’s perspective, only inter-carrier DC was clearly supported, intra-carrier DC has not been supported</w:t>
      </w:r>
      <w:r>
        <w:rPr>
          <w:rFonts w:hint="eastAsia"/>
          <w:lang w:val="en-US" w:eastAsia="zh-CN"/>
        </w:rPr>
        <w:t>.</w:t>
      </w:r>
      <w:r>
        <w:rPr>
          <w:szCs w:val="22"/>
        </w:rPr>
        <w:fldChar w:fldCharType="end"/>
      </w:r>
    </w:p>
    <w:p>
      <w:pPr>
        <w:pStyle w:val="11"/>
        <w:tabs>
          <w:tab w:val="clear" w:pos="0"/>
        </w:tabs>
      </w:pPr>
      <w:r>
        <w:rPr>
          <w:szCs w:val="22"/>
        </w:rPr>
        <w:fldChar w:fldCharType="begin"/>
      </w:r>
      <w:r>
        <w:rPr>
          <w:szCs w:val="22"/>
        </w:rPr>
        <w:instrText xml:space="preserve"> HYPERLINK \l _Toc8995 </w:instrText>
      </w:r>
      <w:r>
        <w:rPr>
          <w:szCs w:val="22"/>
        </w:rPr>
        <w:fldChar w:fldCharType="separate"/>
      </w:r>
      <w:r>
        <w:rPr>
          <w:rFonts w:hint="default" w:ascii="Times New Roman" w:hAnsi="Times New Roman" w:eastAsia="宋体" w:cs="Times New Roman"/>
          <w:bCs/>
          <w:i/>
          <w:iCs/>
          <w:lang w:val="en-US" w:eastAsia="zh-CN"/>
        </w:rPr>
        <w:t xml:space="preserve">Observation 3: </w:t>
      </w:r>
      <w:r>
        <w:t>Some enhancements for resource coordination between gNBs(donor</w:t>
      </w:r>
      <w:r>
        <w:rPr>
          <w:rFonts w:hint="eastAsia"/>
          <w:lang w:val="en-US" w:eastAsia="zh-CN"/>
        </w:rPr>
        <w:t xml:space="preserve"> </w:t>
      </w:r>
      <w:r>
        <w:t>CUs) would be introduced  if inter-donor inter-carrier DC w</w:t>
      </w:r>
      <w:r>
        <w:rPr>
          <w:rFonts w:hint="eastAsia"/>
          <w:lang w:val="en-US" w:eastAsia="zh-CN"/>
        </w:rPr>
        <w:t>ere</w:t>
      </w:r>
      <w:r>
        <w:t xml:space="preserve"> supported</w:t>
      </w:r>
      <w:r>
        <w:rPr>
          <w:rFonts w:hint="eastAsia"/>
          <w:lang w:val="en-US" w:eastAsia="zh-CN"/>
        </w:rPr>
        <w:t>.</w:t>
      </w:r>
      <w:r>
        <w:rPr>
          <w:szCs w:val="22"/>
        </w:rPr>
        <w:fldChar w:fldCharType="end"/>
      </w:r>
    </w:p>
    <w:p>
      <w:pPr>
        <w:pStyle w:val="11"/>
        <w:tabs>
          <w:tab w:val="clear" w:pos="0"/>
        </w:tabs>
      </w:pPr>
      <w:r>
        <w:rPr>
          <w:szCs w:val="22"/>
        </w:rPr>
        <w:fldChar w:fldCharType="begin"/>
      </w:r>
      <w:r>
        <w:rPr>
          <w:szCs w:val="22"/>
        </w:rPr>
        <w:instrText xml:space="preserve"> HYPERLINK \l _Toc6807 </w:instrText>
      </w:r>
      <w:r>
        <w:rPr>
          <w:szCs w:val="22"/>
        </w:rPr>
        <w:fldChar w:fldCharType="separate"/>
      </w:r>
      <w:r>
        <w:rPr>
          <w:rFonts w:hint="default" w:ascii="Times New Roman" w:hAnsi="Times New Roman" w:eastAsia="宋体" w:cs="Times New Roman"/>
          <w:bCs/>
          <w:i/>
          <w:iCs/>
          <w:lang w:val="en-US" w:eastAsia="zh-CN"/>
        </w:rPr>
        <w:t xml:space="preserve">Observation 4: </w:t>
      </w:r>
      <w:r>
        <w:t>There is no ideal backhaul link between IAB nodes, dynamic coordination between two parent nodes is not possible</w:t>
      </w:r>
      <w:r>
        <w:rPr>
          <w:rFonts w:hint="eastAsia"/>
          <w:lang w:val="en-US" w:eastAsia="zh-CN"/>
        </w:rPr>
        <w:t>.</w:t>
      </w:r>
      <w:r>
        <w:rPr>
          <w:szCs w:val="22"/>
        </w:rPr>
        <w:fldChar w:fldCharType="end"/>
      </w:r>
    </w:p>
    <w:p>
      <w:pPr>
        <w:spacing w:before="120" w:after="120"/>
      </w:pPr>
      <w:r>
        <w:rPr>
          <w:szCs w:val="22"/>
        </w:rPr>
        <w:fldChar w:fldCharType="end"/>
      </w:r>
    </w:p>
    <w:p>
      <w:pPr>
        <w:pStyle w:val="11"/>
        <w:tabs>
          <w:tab w:val="clear" w:pos="0"/>
        </w:tabs>
      </w:pPr>
      <w:r>
        <w:fldChar w:fldCharType="begin"/>
      </w:r>
      <w:r>
        <w:instrText xml:space="preserve">TOC \n  \t "YJ-Proposal,1,sub-proposal,2,3rd level proposal,3" \h</w:instrText>
      </w:r>
      <w:r>
        <w:fldChar w:fldCharType="separate"/>
      </w:r>
      <w:r>
        <w:fldChar w:fldCharType="begin"/>
      </w:r>
      <w:r>
        <w:instrText xml:space="preserve"> HYPERLINK \l _Toc384 </w:instrText>
      </w:r>
      <w:r>
        <w:fldChar w:fldCharType="separate"/>
      </w:r>
      <w:r>
        <w:rPr>
          <w:rFonts w:hint="default" w:ascii="Times New Roman" w:hAnsi="Times New Roman" w:eastAsia="宋体" w:cs="Times New Roman"/>
          <w:bCs/>
          <w:i/>
          <w:iCs/>
          <w:lang w:val="en-US" w:eastAsia="zh-CN"/>
        </w:rPr>
        <w:t xml:space="preserve">Proposal 1: </w:t>
      </w:r>
      <w:r>
        <w:t>At least to support FDM, the Rel-16 IAB DU resource type definitions needs to be extended to frequency domain resources</w:t>
      </w:r>
      <w:r>
        <w:rPr>
          <w:rFonts w:hint="eastAsia"/>
          <w:lang w:val="en-US" w:eastAsia="zh-CN"/>
        </w:rPr>
        <w:t>.</w:t>
      </w:r>
      <w:r>
        <w:fldChar w:fldCharType="end"/>
      </w:r>
    </w:p>
    <w:p>
      <w:pPr>
        <w:pStyle w:val="11"/>
        <w:tabs>
          <w:tab w:val="clear" w:pos="0"/>
        </w:tabs>
      </w:pPr>
      <w:r>
        <w:fldChar w:fldCharType="begin"/>
      </w:r>
      <w:r>
        <w:instrText xml:space="preserve"> HYPERLINK \l _Toc10116 </w:instrText>
      </w:r>
      <w:r>
        <w:fldChar w:fldCharType="separate"/>
      </w:r>
      <w:r>
        <w:rPr>
          <w:rFonts w:hint="default" w:ascii="Times New Roman" w:hAnsi="Times New Roman" w:eastAsia="宋体" w:cs="Times New Roman"/>
          <w:bCs/>
          <w:i/>
          <w:iCs/>
          <w:lang w:val="en-US" w:eastAsia="zh-CN"/>
        </w:rPr>
        <w:t xml:space="preserve">Proposal 2: </w:t>
      </w:r>
      <w:r>
        <w:t>For resource configuration in frequency domain for DU, the following types of frequency resources could be configured for each IAB-DU cell</w:t>
      </w:r>
      <w:r>
        <w:rPr>
          <w:rFonts w:hint="eastAsia"/>
          <w:lang w:val="en-US" w:eastAsia="zh-CN"/>
        </w:rPr>
        <w:t>:</w:t>
      </w:r>
      <w:r>
        <w:fldChar w:fldCharType="end"/>
      </w:r>
    </w:p>
    <w:p>
      <w:pPr>
        <w:pStyle w:val="13"/>
        <w:tabs>
          <w:tab w:val="right" w:pos="9660"/>
          <w:tab w:val="clear" w:pos="420"/>
        </w:tabs>
      </w:pPr>
      <w:r>
        <w:fldChar w:fldCharType="begin"/>
      </w:r>
      <w:r>
        <w:instrText xml:space="preserve"> HYPERLINK \l _Toc12641 </w:instrText>
      </w:r>
      <w:r>
        <w:fldChar w:fldCharType="separate"/>
      </w:r>
      <w:r>
        <w:rPr>
          <w:rFonts w:hint="default" w:ascii="Arial" w:hAnsi="Arial" w:cs="Arial"/>
          <w:lang w:val="en-US" w:eastAsia="zh-CN"/>
        </w:rPr>
        <w:t xml:space="preserve">• </w:t>
      </w:r>
      <w:r>
        <w:t>Hard: The corresponding frequency resource is available for the IAB-DU</w:t>
      </w:r>
      <w:r>
        <w:fldChar w:fldCharType="end"/>
      </w:r>
    </w:p>
    <w:p>
      <w:pPr>
        <w:pStyle w:val="13"/>
        <w:tabs>
          <w:tab w:val="right" w:pos="9660"/>
          <w:tab w:val="clear" w:pos="420"/>
        </w:tabs>
      </w:pPr>
      <w:r>
        <w:fldChar w:fldCharType="begin"/>
      </w:r>
      <w:r>
        <w:instrText xml:space="preserve"> HYPERLINK \l _Toc5756 </w:instrText>
      </w:r>
      <w:r>
        <w:fldChar w:fldCharType="separate"/>
      </w:r>
      <w:r>
        <w:rPr>
          <w:rFonts w:hint="default" w:ascii="Arial" w:hAnsi="Arial" w:cs="Arial"/>
          <w:lang w:val="en-US" w:eastAsia="zh-CN"/>
        </w:rPr>
        <w:t xml:space="preserve">• </w:t>
      </w:r>
      <w:r>
        <w:t>NA: The corresponding frequency resource is not available for the IAB-DU</w:t>
      </w:r>
      <w:r>
        <w:fldChar w:fldCharType="end"/>
      </w:r>
    </w:p>
    <w:p>
      <w:pPr>
        <w:pStyle w:val="13"/>
        <w:tabs>
          <w:tab w:val="right" w:pos="9660"/>
          <w:tab w:val="clear" w:pos="420"/>
        </w:tabs>
      </w:pPr>
      <w:r>
        <w:fldChar w:fldCharType="begin"/>
      </w:r>
      <w:r>
        <w:instrText xml:space="preserve"> HYPERLINK \l _Toc15309 </w:instrText>
      </w:r>
      <w:r>
        <w:fldChar w:fldCharType="separate"/>
      </w:r>
      <w:r>
        <w:rPr>
          <w:rFonts w:hint="default" w:ascii="Arial" w:hAnsi="Arial" w:cs="Arial"/>
          <w:lang w:val="en-US" w:eastAsia="zh-CN"/>
        </w:rPr>
        <w:t xml:space="preserve">• </w:t>
      </w:r>
      <w:r>
        <w:t>FFS: Whether Soft frequency resource should be configured</w:t>
      </w:r>
      <w:r>
        <w:fldChar w:fldCharType="end"/>
      </w:r>
    </w:p>
    <w:p>
      <w:pPr>
        <w:pStyle w:val="11"/>
        <w:tabs>
          <w:tab w:val="clear" w:pos="0"/>
        </w:tabs>
      </w:pPr>
      <w:r>
        <w:fldChar w:fldCharType="begin"/>
      </w:r>
      <w:r>
        <w:instrText xml:space="preserve"> HYPERLINK \l _Toc30692 </w:instrText>
      </w:r>
      <w:r>
        <w:fldChar w:fldCharType="separate"/>
      </w:r>
      <w:r>
        <w:rPr>
          <w:rFonts w:hint="default" w:ascii="Times New Roman" w:hAnsi="Times New Roman" w:eastAsia="宋体" w:cs="Times New Roman"/>
          <w:bCs/>
          <w:i/>
          <w:iCs/>
          <w:lang w:val="en-US" w:eastAsia="zh-CN"/>
        </w:rPr>
        <w:t xml:space="preserve">Proposal 3: </w:t>
      </w:r>
      <w:r>
        <w:t>A frequency resource is equivalent to being configured as hard if it is used to transmit or receive cell-specific/semi-static signals and channels in the frequency resource by DU</w:t>
      </w:r>
      <w:r>
        <w:rPr>
          <w:rFonts w:hint="eastAsia"/>
          <w:lang w:val="en-US" w:eastAsia="zh-CN"/>
        </w:rPr>
        <w:t>.</w:t>
      </w:r>
      <w:r>
        <w:fldChar w:fldCharType="end"/>
      </w:r>
    </w:p>
    <w:p>
      <w:pPr>
        <w:pStyle w:val="11"/>
        <w:tabs>
          <w:tab w:val="clear" w:pos="0"/>
        </w:tabs>
      </w:pPr>
      <w:r>
        <w:fldChar w:fldCharType="begin"/>
      </w:r>
      <w:r>
        <w:instrText xml:space="preserve"> HYPERLINK \l _Toc429 </w:instrText>
      </w:r>
      <w:r>
        <w:fldChar w:fldCharType="separate"/>
      </w:r>
      <w:r>
        <w:rPr>
          <w:rFonts w:hint="default" w:ascii="Times New Roman" w:hAnsi="Times New Roman" w:eastAsia="宋体" w:cs="Times New Roman"/>
          <w:bCs/>
          <w:i/>
          <w:iCs/>
          <w:lang w:val="en-US" w:eastAsia="zh-CN"/>
        </w:rPr>
        <w:t xml:space="preserve">Proposal 4: </w:t>
      </w:r>
      <w:r>
        <w:t>Whether to extend DCI Format 2_5 to frequency domain resources can be considered after determining whether to introduce soft resources in frequency domain</w:t>
      </w:r>
      <w:r>
        <w:rPr>
          <w:rFonts w:hint="eastAsia"/>
          <w:lang w:val="en-US" w:eastAsia="zh-CN"/>
        </w:rPr>
        <w:t>.</w:t>
      </w:r>
      <w:r>
        <w:fldChar w:fldCharType="end"/>
      </w:r>
    </w:p>
    <w:p>
      <w:pPr>
        <w:pStyle w:val="11"/>
        <w:tabs>
          <w:tab w:val="clear" w:pos="0"/>
        </w:tabs>
      </w:pPr>
      <w:r>
        <w:fldChar w:fldCharType="begin"/>
      </w:r>
      <w:r>
        <w:instrText xml:space="preserve"> HYPERLINK \l _Toc9108 </w:instrText>
      </w:r>
      <w:r>
        <w:fldChar w:fldCharType="separate"/>
      </w:r>
      <w:r>
        <w:rPr>
          <w:rFonts w:hint="default" w:ascii="Times New Roman" w:hAnsi="Times New Roman" w:eastAsia="宋体" w:cs="Times New Roman"/>
          <w:bCs/>
          <w:i/>
          <w:iCs/>
          <w:lang w:val="en-US" w:eastAsia="zh-CN"/>
        </w:rPr>
        <w:t xml:space="preserve">Proposal 5: </w:t>
      </w:r>
      <w:r>
        <w:t>Support of full-duplex cases (i.e., simultaneous DU-Tx/MT-Rx and simultaneous DU-Rx/MT-Tx) is left to implementation</w:t>
      </w:r>
      <w:r>
        <w:rPr>
          <w:rFonts w:hint="eastAsia"/>
          <w:lang w:val="en-US" w:eastAsia="zh-CN"/>
        </w:rPr>
        <w:t>.</w:t>
      </w:r>
      <w:r>
        <w:fldChar w:fldCharType="end"/>
      </w:r>
    </w:p>
    <w:p>
      <w:pPr>
        <w:pStyle w:val="11"/>
        <w:tabs>
          <w:tab w:val="clear" w:pos="0"/>
        </w:tabs>
      </w:pPr>
      <w:r>
        <w:fldChar w:fldCharType="begin"/>
      </w:r>
      <w:r>
        <w:instrText xml:space="preserve"> HYPERLINK \l _Toc21451 </w:instrText>
      </w:r>
      <w:r>
        <w:fldChar w:fldCharType="separate"/>
      </w:r>
      <w:r>
        <w:rPr>
          <w:rFonts w:hint="default" w:ascii="Times New Roman" w:hAnsi="Times New Roman" w:eastAsia="宋体" w:cs="Times New Roman"/>
          <w:bCs/>
          <w:i/>
          <w:iCs/>
          <w:lang w:val="en-US" w:eastAsia="zh-CN"/>
        </w:rPr>
        <w:t xml:space="preserve">Proposal 6: </w:t>
      </w:r>
      <w:r>
        <w:t>It is up to RAN3 to determine whether inter-donor inter-carrier DC is supported</w:t>
      </w:r>
      <w:r>
        <w:rPr>
          <w:rFonts w:hint="eastAsia"/>
          <w:lang w:val="en-US" w:eastAsia="zh-CN"/>
        </w:rPr>
        <w:t>.</w:t>
      </w:r>
      <w:r>
        <w:fldChar w:fldCharType="end"/>
      </w:r>
    </w:p>
    <w:p>
      <w:pPr>
        <w:pStyle w:val="11"/>
        <w:tabs>
          <w:tab w:val="clear" w:pos="0"/>
        </w:tabs>
      </w:pPr>
      <w:r>
        <w:fldChar w:fldCharType="begin"/>
      </w:r>
      <w:r>
        <w:instrText xml:space="preserve"> HYPERLINK \l _Toc18001 </w:instrText>
      </w:r>
      <w:r>
        <w:fldChar w:fldCharType="separate"/>
      </w:r>
      <w:r>
        <w:rPr>
          <w:rFonts w:hint="default" w:ascii="Times New Roman" w:hAnsi="Times New Roman" w:eastAsia="宋体" w:cs="Times New Roman"/>
          <w:bCs/>
          <w:i/>
          <w:iCs/>
          <w:lang w:val="en-US" w:eastAsia="zh-CN"/>
        </w:rPr>
        <w:t xml:space="preserve">Proposal 7: </w:t>
      </w:r>
      <w:r>
        <w:t xml:space="preserve">The explicit indication of soft </w:t>
      </w:r>
      <w:r>
        <w:rPr>
          <w:rFonts w:hint="eastAsia"/>
          <w:lang w:eastAsia="zh-CN"/>
        </w:rPr>
        <w:t xml:space="preserve">time domain </w:t>
      </w:r>
      <w:r>
        <w:t>resources by DCI Format 2_5 is reused for multi-parent scenarios in Rel-17</w:t>
      </w:r>
      <w:r>
        <w:rPr>
          <w:rFonts w:hint="eastAsia"/>
          <w:lang w:val="en-US" w:eastAsia="zh-CN"/>
        </w:rPr>
        <w:t>.</w:t>
      </w:r>
      <w:r>
        <w:rPr>
          <w:rFonts w:eastAsia="Calibri"/>
        </w:rPr>
        <w:t xml:space="preserve"> </w:t>
      </w:r>
      <w:r>
        <w:rPr>
          <w:rFonts w:hint="eastAsia"/>
          <w:lang w:eastAsia="zh-CN"/>
        </w:rPr>
        <w:t xml:space="preserve">There is no need to consider </w:t>
      </w:r>
      <w:r>
        <w:rPr>
          <w:rFonts w:eastAsia="Calibri"/>
        </w:rPr>
        <w:t>additional enhancements over the Rel-16 solution</w:t>
      </w:r>
      <w:r>
        <w:rPr>
          <w:rFonts w:hint="eastAsia"/>
          <w:lang w:eastAsia="zh-CN"/>
        </w:rPr>
        <w:t>.</w:t>
      </w:r>
      <w:r>
        <w:fldChar w:fldCharType="end"/>
      </w:r>
    </w:p>
    <w:p>
      <w:pPr>
        <w:pStyle w:val="11"/>
        <w:tabs>
          <w:tab w:val="clear" w:pos="0"/>
        </w:tabs>
      </w:pPr>
      <w:r>
        <w:fldChar w:fldCharType="begin"/>
      </w:r>
      <w:r>
        <w:instrText xml:space="preserve"> HYPERLINK \l _Toc22127 </w:instrText>
      </w:r>
      <w:r>
        <w:fldChar w:fldCharType="separate"/>
      </w:r>
      <w:r>
        <w:rPr>
          <w:rFonts w:hint="default" w:ascii="Times New Roman" w:hAnsi="Times New Roman" w:eastAsia="宋体" w:cs="Times New Roman"/>
          <w:bCs/>
          <w:i/>
          <w:iCs/>
          <w:lang w:val="en-US" w:eastAsia="zh-CN"/>
        </w:rPr>
        <w:t xml:space="preserve">Proposal 8: </w:t>
      </w:r>
      <w:r>
        <w:t>From RAN1 perspective, inter-carrier, intra-band DU should reuse solutions for supporting Inter-carrier, inter-band</w:t>
      </w:r>
      <w:r>
        <w:rPr>
          <w:rFonts w:hint="eastAsia"/>
          <w:lang w:val="en-US" w:eastAsia="zh-CN"/>
        </w:rPr>
        <w:t xml:space="preserve">. There is no need to introduce </w:t>
      </w:r>
      <w:r>
        <w:rPr>
          <w:rFonts w:eastAsia="Calibri"/>
        </w:rPr>
        <w:t>specific enhancements for inter-carrier, intra-band DC in Rel-17</w:t>
      </w:r>
      <w:r>
        <w:rPr>
          <w:rFonts w:hint="eastAsia"/>
          <w:lang w:val="en-US" w:eastAsia="zh-CN"/>
        </w:rPr>
        <w:t>.</w:t>
      </w:r>
      <w:r>
        <w:fldChar w:fldCharType="end"/>
      </w:r>
    </w:p>
    <w:p>
      <w:pPr>
        <w:spacing w:before="120" w:after="120"/>
      </w:pPr>
      <w:r>
        <w:fldChar w:fldCharType="end"/>
      </w:r>
    </w:p>
    <w:p>
      <w:pPr>
        <w:pStyle w:val="2"/>
        <w:spacing w:before="120" w:after="120"/>
        <w:ind w:left="0"/>
        <w:rPr>
          <w:rFonts w:eastAsia="宋体"/>
        </w:rPr>
      </w:pPr>
      <w:r>
        <w:rPr>
          <w:rFonts w:hint="eastAsia" w:eastAsia="宋体"/>
        </w:rPr>
        <w:t>Reference</w:t>
      </w:r>
      <w:r>
        <w:rPr>
          <w:rFonts w:eastAsia="宋体"/>
        </w:rPr>
        <w:t>s</w:t>
      </w:r>
    </w:p>
    <w:p>
      <w:pPr>
        <w:pStyle w:val="26"/>
        <w:spacing w:before="120" w:after="120"/>
        <w:ind w:left="0" w:firstLine="0"/>
        <w:rPr>
          <w:sz w:val="20"/>
          <w:szCs w:val="20"/>
        </w:rPr>
      </w:pPr>
      <w:bookmarkStart w:id="30" w:name="_Ref6480"/>
      <w:bookmarkStart w:id="31" w:name="_Ref16505925"/>
      <w:bookmarkStart w:id="32" w:name="_Ref17466"/>
      <w:r>
        <w:rPr>
          <w:bCs/>
          <w:sz w:val="20"/>
          <w:szCs w:val="20"/>
        </w:rPr>
        <w:t>Chairman's Notes RAN1#103-e final</w:t>
      </w:r>
    </w:p>
    <w:bookmarkEnd w:id="30"/>
    <w:bookmarkEnd w:id="31"/>
    <w:p>
      <w:pPr>
        <w:pStyle w:val="26"/>
        <w:spacing w:before="120" w:after="120"/>
        <w:ind w:left="0" w:firstLine="0"/>
        <w:rPr>
          <w:sz w:val="20"/>
          <w:szCs w:val="20"/>
        </w:rPr>
      </w:pPr>
      <w:r>
        <w:rPr>
          <w:bCs/>
          <w:sz w:val="20"/>
          <w:szCs w:val="20"/>
        </w:rPr>
        <w:t>RP-2</w:t>
      </w:r>
      <w:r>
        <w:rPr>
          <w:sz w:val="20"/>
          <w:szCs w:val="20"/>
        </w:rPr>
        <w:t>01293, New WID on Enhancements to Integrated Access and Backhaul, Qualcomm</w:t>
      </w:r>
    </w:p>
    <w:p>
      <w:pPr>
        <w:pStyle w:val="26"/>
        <w:spacing w:before="120" w:after="120"/>
        <w:rPr>
          <w:szCs w:val="20"/>
        </w:rPr>
      </w:pPr>
      <w:r>
        <w:rPr>
          <w:rFonts w:hint="eastAsia"/>
        </w:rPr>
        <w:t xml:space="preserve">R3-207199, LS on inter-donor topology redundancy, </w:t>
      </w:r>
      <w:r>
        <w:t xml:space="preserve">RAN3, </w:t>
      </w:r>
      <w:r>
        <w:rPr>
          <w:rFonts w:hint="eastAsia"/>
        </w:rPr>
        <w:t>Samsung</w:t>
      </w:r>
      <w:bookmarkEnd w:id="32"/>
      <w:bookmarkStart w:id="33" w:name="_Ref8297"/>
      <w:r>
        <w:rPr>
          <w:rFonts w:hint="eastAsia"/>
          <w:szCs w:val="20"/>
        </w:rPr>
        <w:t xml:space="preserve"> </w:t>
      </w:r>
      <w:bookmarkEnd w:id="33"/>
    </w:p>
    <w:p>
      <w:pPr>
        <w:spacing w:beforeLines="0" w:afterLines="0"/>
        <w:jc w:val="left"/>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v:fill on="f" focussize="0,0"/>
              <v:stroke on="f" weight="0.5pt"/>
              <v:imagedata o:title=""/>
              <o:lock v:ext="edit" aspectratio="f"/>
              <v:textbox inset="0mm,0mm,0mm,0mm" style="mso-fit-shape-to-text:t;">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2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1">
    <w:nsid w:val="B15F0BA4"/>
    <w:multiLevelType w:val="singleLevel"/>
    <w:tmpl w:val="B15F0BA4"/>
    <w:lvl w:ilvl="0" w:tentative="0">
      <w:start w:val="1"/>
      <w:numFmt w:val="bullet"/>
      <w:pStyle w:val="24"/>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2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A877D64"/>
    <w:multiLevelType w:val="singleLevel"/>
    <w:tmpl w:val="3A877D64"/>
    <w:lvl w:ilvl="0" w:tentative="0">
      <w:start w:val="1"/>
      <w:numFmt w:val="decimal"/>
      <w:pStyle w:val="26"/>
      <w:lvlText w:val="[%1]"/>
      <w:lvlJc w:val="left"/>
      <w:pPr>
        <w:tabs>
          <w:tab w:val="left" w:pos="360"/>
        </w:tabs>
        <w:ind w:left="360" w:hanging="360"/>
      </w:pPr>
    </w:lvl>
  </w:abstractNum>
  <w:abstractNum w:abstractNumId="5">
    <w:nsid w:val="4C8F472B"/>
    <w:multiLevelType w:val="multilevel"/>
    <w:tmpl w:val="4C8F47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08BE803"/>
    <w:multiLevelType w:val="singleLevel"/>
    <w:tmpl w:val="508BE803"/>
    <w:lvl w:ilvl="0" w:tentative="0">
      <w:start w:val="1"/>
      <w:numFmt w:val="bullet"/>
      <w:pStyle w:val="25"/>
      <w:lvlText w:val="-"/>
      <w:lvlJc w:val="left"/>
      <w:pPr>
        <w:ind w:left="420" w:hanging="420"/>
      </w:pPr>
      <w:rPr>
        <w:rFonts w:hint="default" w:ascii="Arial" w:hAnsi="Arial" w:cs="Arial"/>
      </w:rPr>
    </w:lvl>
  </w:abstractNum>
  <w:abstractNum w:abstractNumId="7">
    <w:nsid w:val="7DC436CD"/>
    <w:multiLevelType w:val="singleLevel"/>
    <w:tmpl w:val="7DC436CD"/>
    <w:lvl w:ilvl="0" w:tentative="0">
      <w:start w:val="1"/>
      <w:numFmt w:val="bullet"/>
      <w:pStyle w:val="22"/>
      <w:lvlText w:val="•"/>
      <w:lvlJc w:val="left"/>
      <w:pPr>
        <w:tabs>
          <w:tab w:val="left" w:pos="420"/>
        </w:tabs>
        <w:ind w:left="420" w:hanging="378"/>
      </w:pPr>
      <w:rPr>
        <w:rFonts w:hint="default" w:ascii="Arial" w:hAnsi="Arial" w:cs="Arial"/>
      </w:rPr>
    </w:lvl>
  </w:abstractNum>
  <w:num w:numId="1">
    <w:abstractNumId w:val="3"/>
  </w:num>
  <w:num w:numId="2">
    <w:abstractNumId w:val="0"/>
  </w:num>
  <w:num w:numId="3">
    <w:abstractNumId w:val="2"/>
  </w:num>
  <w:num w:numId="4">
    <w:abstractNumId w:val="7"/>
  </w:num>
  <w:num w:numId="5">
    <w:abstractNumId w:val="1"/>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01583"/>
    <w:rsid w:val="00131276"/>
    <w:rsid w:val="001438ED"/>
    <w:rsid w:val="00172A27"/>
    <w:rsid w:val="00195A3C"/>
    <w:rsid w:val="00213BB6"/>
    <w:rsid w:val="00260149"/>
    <w:rsid w:val="003270E2"/>
    <w:rsid w:val="00463C47"/>
    <w:rsid w:val="004B042F"/>
    <w:rsid w:val="004B0544"/>
    <w:rsid w:val="00524B78"/>
    <w:rsid w:val="005B065E"/>
    <w:rsid w:val="00830169"/>
    <w:rsid w:val="00897D1C"/>
    <w:rsid w:val="0096044C"/>
    <w:rsid w:val="009B66B6"/>
    <w:rsid w:val="00BF060B"/>
    <w:rsid w:val="00C6793D"/>
    <w:rsid w:val="00CB5143"/>
    <w:rsid w:val="00D17949"/>
    <w:rsid w:val="00D6168B"/>
    <w:rsid w:val="00DA4B6A"/>
    <w:rsid w:val="00EB4EC5"/>
    <w:rsid w:val="00EB4F8D"/>
    <w:rsid w:val="00FC22D6"/>
    <w:rsid w:val="00FD2DE4"/>
    <w:rsid w:val="00FE3CF1"/>
    <w:rsid w:val="01764F01"/>
    <w:rsid w:val="01A87802"/>
    <w:rsid w:val="0207518B"/>
    <w:rsid w:val="024D6B6A"/>
    <w:rsid w:val="029B04E7"/>
    <w:rsid w:val="03073BDC"/>
    <w:rsid w:val="033F44DC"/>
    <w:rsid w:val="0555228E"/>
    <w:rsid w:val="059D1E39"/>
    <w:rsid w:val="05E078B3"/>
    <w:rsid w:val="077D0583"/>
    <w:rsid w:val="079724D0"/>
    <w:rsid w:val="082A352F"/>
    <w:rsid w:val="08C349D1"/>
    <w:rsid w:val="08E16393"/>
    <w:rsid w:val="08EA763A"/>
    <w:rsid w:val="09F67CD5"/>
    <w:rsid w:val="0A5B01BE"/>
    <w:rsid w:val="0B46017D"/>
    <w:rsid w:val="0B9E71DF"/>
    <w:rsid w:val="0C9D30C2"/>
    <w:rsid w:val="0D9D65F4"/>
    <w:rsid w:val="0E172BD0"/>
    <w:rsid w:val="0FC52562"/>
    <w:rsid w:val="10A50104"/>
    <w:rsid w:val="115B3410"/>
    <w:rsid w:val="119D7849"/>
    <w:rsid w:val="1242135C"/>
    <w:rsid w:val="13A1683F"/>
    <w:rsid w:val="14DA3DA1"/>
    <w:rsid w:val="158B799D"/>
    <w:rsid w:val="169D643D"/>
    <w:rsid w:val="17155857"/>
    <w:rsid w:val="17950508"/>
    <w:rsid w:val="188F4114"/>
    <w:rsid w:val="19010C43"/>
    <w:rsid w:val="19084C73"/>
    <w:rsid w:val="192665B8"/>
    <w:rsid w:val="1A054259"/>
    <w:rsid w:val="1A3E3FD2"/>
    <w:rsid w:val="1A900408"/>
    <w:rsid w:val="1B3F00A2"/>
    <w:rsid w:val="1B7F6005"/>
    <w:rsid w:val="1C132CB9"/>
    <w:rsid w:val="1CCC26CA"/>
    <w:rsid w:val="1E9D6342"/>
    <w:rsid w:val="204E6676"/>
    <w:rsid w:val="20642183"/>
    <w:rsid w:val="218D690B"/>
    <w:rsid w:val="2195668B"/>
    <w:rsid w:val="21B75A2D"/>
    <w:rsid w:val="21BE5AD4"/>
    <w:rsid w:val="22186699"/>
    <w:rsid w:val="23081A49"/>
    <w:rsid w:val="245C52F8"/>
    <w:rsid w:val="2463385E"/>
    <w:rsid w:val="24785134"/>
    <w:rsid w:val="250D568B"/>
    <w:rsid w:val="25134332"/>
    <w:rsid w:val="257E508F"/>
    <w:rsid w:val="26BF5712"/>
    <w:rsid w:val="27AB7429"/>
    <w:rsid w:val="27AF16DA"/>
    <w:rsid w:val="285C053E"/>
    <w:rsid w:val="29FA7F26"/>
    <w:rsid w:val="2B774832"/>
    <w:rsid w:val="2C5B2EC9"/>
    <w:rsid w:val="2DDB7390"/>
    <w:rsid w:val="2E0B71A3"/>
    <w:rsid w:val="2E565144"/>
    <w:rsid w:val="2EB14206"/>
    <w:rsid w:val="2EF95F20"/>
    <w:rsid w:val="2F1251F2"/>
    <w:rsid w:val="30962F3E"/>
    <w:rsid w:val="30D17E68"/>
    <w:rsid w:val="30FF2795"/>
    <w:rsid w:val="312D28B6"/>
    <w:rsid w:val="318F7EFC"/>
    <w:rsid w:val="31F036E6"/>
    <w:rsid w:val="329A6ACE"/>
    <w:rsid w:val="345D6540"/>
    <w:rsid w:val="3471669F"/>
    <w:rsid w:val="360B1D73"/>
    <w:rsid w:val="361F3323"/>
    <w:rsid w:val="36E93760"/>
    <w:rsid w:val="3784394E"/>
    <w:rsid w:val="38AE3BB0"/>
    <w:rsid w:val="3ACB5746"/>
    <w:rsid w:val="3BB20883"/>
    <w:rsid w:val="3DA8275C"/>
    <w:rsid w:val="3E441C7D"/>
    <w:rsid w:val="3FA70F37"/>
    <w:rsid w:val="3FC956FF"/>
    <w:rsid w:val="3FD94F77"/>
    <w:rsid w:val="40A36A71"/>
    <w:rsid w:val="410E4736"/>
    <w:rsid w:val="41D3631F"/>
    <w:rsid w:val="41F466FD"/>
    <w:rsid w:val="423D5B37"/>
    <w:rsid w:val="428B32C7"/>
    <w:rsid w:val="429E7CA8"/>
    <w:rsid w:val="42A67A24"/>
    <w:rsid w:val="42D846B9"/>
    <w:rsid w:val="440D5045"/>
    <w:rsid w:val="44AA2537"/>
    <w:rsid w:val="44C659AB"/>
    <w:rsid w:val="45385570"/>
    <w:rsid w:val="45915C76"/>
    <w:rsid w:val="45BE6191"/>
    <w:rsid w:val="460C5979"/>
    <w:rsid w:val="462F6229"/>
    <w:rsid w:val="47384688"/>
    <w:rsid w:val="47C01792"/>
    <w:rsid w:val="4808150F"/>
    <w:rsid w:val="49E9233D"/>
    <w:rsid w:val="4AAD1944"/>
    <w:rsid w:val="4AC31003"/>
    <w:rsid w:val="4AE93159"/>
    <w:rsid w:val="4BD0339A"/>
    <w:rsid w:val="4BD45173"/>
    <w:rsid w:val="4D462159"/>
    <w:rsid w:val="4D5C5FAC"/>
    <w:rsid w:val="4DC605B6"/>
    <w:rsid w:val="4DEC0985"/>
    <w:rsid w:val="4E27683A"/>
    <w:rsid w:val="4F2765B1"/>
    <w:rsid w:val="4F285975"/>
    <w:rsid w:val="4FBC4859"/>
    <w:rsid w:val="51796EDE"/>
    <w:rsid w:val="51867298"/>
    <w:rsid w:val="52195EDF"/>
    <w:rsid w:val="52313387"/>
    <w:rsid w:val="52C15317"/>
    <w:rsid w:val="52E04D27"/>
    <w:rsid w:val="532049AA"/>
    <w:rsid w:val="539A390F"/>
    <w:rsid w:val="53DB3477"/>
    <w:rsid w:val="54AF6B42"/>
    <w:rsid w:val="55DD6F2A"/>
    <w:rsid w:val="56E23970"/>
    <w:rsid w:val="577A3C7D"/>
    <w:rsid w:val="578F220A"/>
    <w:rsid w:val="57FC07D9"/>
    <w:rsid w:val="58500F22"/>
    <w:rsid w:val="588B6ED5"/>
    <w:rsid w:val="591C0009"/>
    <w:rsid w:val="5ACF0F3A"/>
    <w:rsid w:val="5C4C7245"/>
    <w:rsid w:val="5C6B1600"/>
    <w:rsid w:val="5C921AD0"/>
    <w:rsid w:val="5DF07A97"/>
    <w:rsid w:val="5DFD51DB"/>
    <w:rsid w:val="5E0D36E5"/>
    <w:rsid w:val="5ED907FA"/>
    <w:rsid w:val="607C3753"/>
    <w:rsid w:val="60C30855"/>
    <w:rsid w:val="61421EFD"/>
    <w:rsid w:val="615C5041"/>
    <w:rsid w:val="621606EA"/>
    <w:rsid w:val="64857194"/>
    <w:rsid w:val="664805B8"/>
    <w:rsid w:val="690F418B"/>
    <w:rsid w:val="6A7A2736"/>
    <w:rsid w:val="6A7B4B9C"/>
    <w:rsid w:val="6C89456C"/>
    <w:rsid w:val="6F2150D5"/>
    <w:rsid w:val="6F8C0982"/>
    <w:rsid w:val="6F901B66"/>
    <w:rsid w:val="6F957829"/>
    <w:rsid w:val="6FA629D4"/>
    <w:rsid w:val="6FD10552"/>
    <w:rsid w:val="704522F9"/>
    <w:rsid w:val="70BB2EF0"/>
    <w:rsid w:val="72520A5C"/>
    <w:rsid w:val="72A90FF4"/>
    <w:rsid w:val="73455C21"/>
    <w:rsid w:val="73D425F7"/>
    <w:rsid w:val="741D7214"/>
    <w:rsid w:val="750A2023"/>
    <w:rsid w:val="7676736A"/>
    <w:rsid w:val="76933951"/>
    <w:rsid w:val="76B0156B"/>
    <w:rsid w:val="771D661B"/>
    <w:rsid w:val="771F7714"/>
    <w:rsid w:val="778A0884"/>
    <w:rsid w:val="78782A0D"/>
    <w:rsid w:val="79A2171F"/>
    <w:rsid w:val="79A252FF"/>
    <w:rsid w:val="79D33056"/>
    <w:rsid w:val="7B226C12"/>
    <w:rsid w:val="7C26369C"/>
    <w:rsid w:val="7C9E5A24"/>
    <w:rsid w:val="7CAC00CB"/>
    <w:rsid w:val="7CC76BD4"/>
    <w:rsid w:val="7D575412"/>
    <w:rsid w:val="7D62117D"/>
    <w:rsid w:val="7DB54254"/>
    <w:rsid w:val="7DB5752C"/>
    <w:rsid w:val="7E03036B"/>
    <w:rsid w:val="7E053373"/>
    <w:rsid w:val="7E3E1EF2"/>
    <w:rsid w:val="7E951513"/>
    <w:rsid w:val="7EBC2810"/>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name="header"/>
    <w:lsdException w:qFormat="1" w:uiPriority="99"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0"/>
    <w:semiHidden/>
    <w:unhideWhenUsed/>
    <w:qFormat/>
    <w:uiPriority w:val="99"/>
    <w:rPr>
      <w:rFonts w:ascii="宋体"/>
      <w:sz w:val="18"/>
      <w:szCs w:val="18"/>
    </w:rPr>
  </w:style>
  <w:style w:type="paragraph" w:styleId="6">
    <w:name w:val="annotation text"/>
    <w:basedOn w:val="1"/>
    <w:link w:val="32"/>
    <w:semiHidden/>
    <w:unhideWhenUsed/>
    <w:qFormat/>
    <w:uiPriority w:val="99"/>
    <w:pPr>
      <w:jc w:val="left"/>
    </w:pPr>
  </w:style>
  <w:style w:type="paragraph" w:styleId="7">
    <w:name w:val="toc 3"/>
    <w:basedOn w:val="1"/>
    <w:next w:val="1"/>
    <w:unhideWhenUsed/>
    <w:qFormat/>
    <w:uiPriority w:val="99"/>
    <w:pPr>
      <w:adjustRightInd w:val="0"/>
      <w:ind w:left="1282" w:leftChars="400" w:hanging="442" w:hangingChars="200"/>
    </w:pPr>
    <w:rPr>
      <w:b/>
      <w:i/>
      <w:sz w:val="20"/>
    </w:rPr>
  </w:style>
  <w:style w:type="paragraph" w:styleId="8">
    <w:name w:val="Balloon Text"/>
    <w:basedOn w:val="1"/>
    <w:link w:val="31"/>
    <w:semiHidden/>
    <w:unhideWhenUsed/>
    <w:qFormat/>
    <w:uiPriority w:val="99"/>
    <w:rPr>
      <w:sz w:val="18"/>
      <w:szCs w:val="18"/>
    </w:rPr>
  </w:style>
  <w:style w:type="paragraph" w:styleId="9">
    <w:name w:val="footer"/>
    <w:basedOn w:val="1"/>
    <w:semiHidden/>
    <w:unhideWhenUsed/>
    <w:qFormat/>
    <w:uiPriority w:val="99"/>
    <w:pPr>
      <w:tabs>
        <w:tab w:val="center" w:pos="4153"/>
        <w:tab w:val="right" w:pos="8306"/>
      </w:tabs>
      <w:snapToGrid w:val="0"/>
      <w:jc w:val="left"/>
    </w:pPr>
    <w:rPr>
      <w:sz w:val="18"/>
      <w:szCs w:val="18"/>
    </w:rPr>
  </w:style>
  <w:style w:type="paragraph" w:styleId="10">
    <w:name w:val="header"/>
    <w:basedOn w:val="1"/>
    <w:semiHidden/>
    <w:qFormat/>
    <w:uiPriority w:val="0"/>
    <w:pPr>
      <w:tabs>
        <w:tab w:val="center" w:pos="4680"/>
        <w:tab w:val="right" w:pos="9360"/>
      </w:tabs>
    </w:pPr>
  </w:style>
  <w:style w:type="paragraph" w:styleId="11">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unhideWhenUsed/>
    <w:qFormat/>
    <w:uiPriority w:val="39"/>
    <w:pPr>
      <w:tabs>
        <w:tab w:val="right" w:pos="420"/>
      </w:tabs>
      <w:ind w:left="862" w:leftChars="200" w:hanging="442" w:hangingChars="200"/>
      <w:jc w:val="left"/>
    </w:pPr>
    <w:rPr>
      <w:b/>
      <w:i/>
      <w:sz w:val="20"/>
    </w:rPr>
  </w:style>
  <w:style w:type="paragraph" w:styleId="14">
    <w:name w:val="annotation subject"/>
    <w:basedOn w:val="6"/>
    <w:next w:val="6"/>
    <w:link w:val="33"/>
    <w:semiHidden/>
    <w:unhideWhenUsed/>
    <w:qFormat/>
    <w:uiPriority w:val="99"/>
    <w:rPr>
      <w:b/>
      <w:bCs/>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unhideWhenUsed/>
    <w:qFormat/>
    <w:uiPriority w:val="99"/>
    <w:rPr>
      <w:color w:val="0000FF" w:themeColor="hyperlink"/>
      <w:u w:val="single"/>
      <w14:textFill>
        <w14:solidFill>
          <w14:schemeClr w14:val="hlink"/>
        </w14:solidFill>
      </w14:textFill>
    </w:rPr>
  </w:style>
  <w:style w:type="character" w:styleId="19">
    <w:name w:val="annotation reference"/>
    <w:qFormat/>
    <w:uiPriority w:val="99"/>
    <w:rPr>
      <w:sz w:val="16"/>
    </w:rPr>
  </w:style>
  <w:style w:type="paragraph" w:customStyle="1" w:styleId="20">
    <w:name w:val="YJ-Observation"/>
    <w:basedOn w:val="21"/>
    <w:qFormat/>
    <w:uiPriority w:val="0"/>
    <w:pPr>
      <w:numPr>
        <w:ilvl w:val="0"/>
        <w:numId w:val="2"/>
      </w:numPr>
      <w:tabs>
        <w:tab w:val="left" w:pos="420"/>
      </w:tabs>
    </w:pPr>
  </w:style>
  <w:style w:type="paragraph" w:customStyle="1" w:styleId="21">
    <w:name w:val="YJ-Proposal"/>
    <w:basedOn w:val="1"/>
    <w:qFormat/>
    <w:uiPriority w:val="0"/>
    <w:pPr>
      <w:numPr>
        <w:ilvl w:val="0"/>
        <w:numId w:val="3"/>
      </w:numPr>
      <w:jc w:val="left"/>
    </w:pPr>
    <w:rPr>
      <w:rFonts w:eastAsiaTheme="minorEastAsia"/>
      <w:b/>
      <w:bCs/>
      <w:i/>
      <w:iCs/>
      <w:sz w:val="20"/>
      <w:lang w:val="en-GB" w:eastAsia="en-US"/>
    </w:rPr>
  </w:style>
  <w:style w:type="paragraph" w:customStyle="1" w:styleId="22">
    <w:name w:val="sub-proposal"/>
    <w:basedOn w:val="21"/>
    <w:next w:val="1"/>
    <w:qFormat/>
    <w:uiPriority w:val="0"/>
    <w:pPr>
      <w:numPr>
        <w:numId w:val="4"/>
      </w:numPr>
      <w:tabs>
        <w:tab w:val="left" w:pos="420"/>
        <w:tab w:val="left" w:pos="807"/>
      </w:tabs>
      <w:ind w:left="862" w:leftChars="200" w:hanging="442" w:hangingChars="200"/>
    </w:pPr>
  </w:style>
  <w:style w:type="paragraph" w:customStyle="1" w:styleId="23">
    <w:name w:val="sub-observation"/>
    <w:basedOn w:val="22"/>
    <w:next w:val="1"/>
    <w:qFormat/>
    <w:uiPriority w:val="0"/>
  </w:style>
  <w:style w:type="paragraph" w:customStyle="1" w:styleId="24">
    <w:name w:val="3rd level proposal"/>
    <w:basedOn w:val="22"/>
    <w:next w:val="1"/>
    <w:qFormat/>
    <w:uiPriority w:val="0"/>
    <w:pPr>
      <w:numPr>
        <w:ilvl w:val="0"/>
        <w:numId w:val="5"/>
      </w:numPr>
      <w:ind w:left="1282" w:leftChars="400" w:hanging="442"/>
    </w:pPr>
  </w:style>
  <w:style w:type="paragraph" w:customStyle="1" w:styleId="25">
    <w:name w:val="3rd level observation"/>
    <w:basedOn w:val="23"/>
    <w:qFormat/>
    <w:uiPriority w:val="0"/>
    <w:pPr>
      <w:numPr>
        <w:ilvl w:val="0"/>
        <w:numId w:val="6"/>
      </w:numPr>
      <w:ind w:left="1282" w:leftChars="400" w:hanging="442"/>
    </w:pPr>
  </w:style>
  <w:style w:type="paragraph" w:customStyle="1" w:styleId="26">
    <w:name w:val="References"/>
    <w:basedOn w:val="1"/>
    <w:qFormat/>
    <w:uiPriority w:val="0"/>
    <w:pPr>
      <w:numPr>
        <w:ilvl w:val="0"/>
        <w:numId w:val="7"/>
      </w:numPr>
      <w:spacing w:after="60"/>
    </w:pPr>
    <w:rPr>
      <w:szCs w:val="16"/>
    </w:rPr>
  </w:style>
  <w:style w:type="paragraph" w:styleId="27">
    <w:name w:val="List Paragraph"/>
    <w:basedOn w:val="1"/>
    <w:qFormat/>
    <w:uiPriority w:val="34"/>
    <w:pPr>
      <w:spacing w:beforeLines="0"/>
      <w:ind w:left="720"/>
      <w:contextualSpacing/>
    </w:pPr>
    <w:rPr>
      <w:rFonts w:eastAsia="Times New Roman"/>
      <w:sz w:val="24"/>
      <w:szCs w:val="24"/>
    </w:rPr>
  </w:style>
  <w:style w:type="paragraph" w:customStyle="1" w:styleId="28">
    <w:name w:val="样式1"/>
    <w:basedOn w:val="1"/>
    <w:qFormat/>
    <w:uiPriority w:val="0"/>
  </w:style>
  <w:style w:type="paragraph" w:customStyle="1" w:styleId="29">
    <w:name w:val="样式2"/>
    <w:basedOn w:val="1"/>
    <w:qFormat/>
    <w:uiPriority w:val="0"/>
  </w:style>
  <w:style w:type="character" w:customStyle="1" w:styleId="30">
    <w:name w:val="文档结构图 Char"/>
    <w:basedOn w:val="17"/>
    <w:link w:val="5"/>
    <w:semiHidden/>
    <w:qFormat/>
    <w:uiPriority w:val="99"/>
    <w:rPr>
      <w:rFonts w:ascii="宋体"/>
      <w:kern w:val="2"/>
      <w:sz w:val="18"/>
      <w:szCs w:val="18"/>
    </w:rPr>
  </w:style>
  <w:style w:type="character" w:customStyle="1" w:styleId="31">
    <w:name w:val="批注框文本 Char"/>
    <w:basedOn w:val="17"/>
    <w:link w:val="8"/>
    <w:semiHidden/>
    <w:qFormat/>
    <w:uiPriority w:val="99"/>
    <w:rPr>
      <w:kern w:val="2"/>
      <w:sz w:val="18"/>
      <w:szCs w:val="18"/>
    </w:rPr>
  </w:style>
  <w:style w:type="character" w:customStyle="1" w:styleId="32">
    <w:name w:val="批注文字 Char"/>
    <w:basedOn w:val="17"/>
    <w:link w:val="6"/>
    <w:semiHidden/>
    <w:qFormat/>
    <w:uiPriority w:val="99"/>
    <w:rPr>
      <w:kern w:val="2"/>
      <w:sz w:val="21"/>
    </w:rPr>
  </w:style>
  <w:style w:type="character" w:customStyle="1" w:styleId="33">
    <w:name w:val="批注主题 Char"/>
    <w:basedOn w:val="32"/>
    <w:link w:val="14"/>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2513</Words>
  <Characters>14272</Characters>
  <Lines>125</Lines>
  <Paragraphs>35</Paragraphs>
  <TotalTime>1</TotalTime>
  <ScaleCrop>false</ScaleCrop>
  <LinksUpToDate>false</LinksUpToDate>
  <CharactersWithSpaces>16701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2021-01-17T13:40:00Z</dcterms:created>
  <dc:creator>ZTE</dc:creator>
  <cp:lastModifiedBy>ZTE_xwm</cp:lastModifiedBy>
  <dcterms:modified xsi:type="dcterms:W3CDTF">2021-01-18T07:44:38Z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